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>
        <w:widowControl w:val="0"/>
        <w:wordWrap/>
        <w:adjustRightInd/>
        <w:snapToGrid/>
        <w:spacing w:line="560" w:lineRule="exact"/>
        <w:ind w:right="0" w:firstLine="0" w:firstLineChars="0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  <w:lang w:val="en-US" w:eastAsia="zh-CN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  <w:lang w:val="en-US" w:eastAsia="zh-CN"/>
        </w:rPr>
        <w:t xml:space="preserve">青岛市自然科学基金青年、原创探索项目</w:t>
      </w:r>
    </w:p>
    <w:p>
      <w:pPr>
        <w:widowControl w:val="0"/>
        <w:wordWrap/>
        <w:adjustRightInd/>
        <w:snapToGrid/>
        <w:spacing w:line="560" w:lineRule="exact"/>
        <w:ind w:right="0" w:firstLine="0" w:firstLineChars="0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  <w:lang w:val="en-US" w:eastAsia="zh-CN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  <w:lang w:val="en-US" w:eastAsia="zh-CN"/>
        </w:rPr>
        <w:t xml:space="preserve">申报明白纸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leftChars="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</w:p>
    <w:p>
      <w:pPr>
        <w:widowControl w:val="0"/>
        <w:wordWrap/>
        <w:adjustRightInd/>
        <w:snapToGrid/>
        <w:spacing w:line="560" w:lineRule="exact"/>
        <w:ind w:left="0" w:right="0" w:firstLine="640" w:leftChars="0" w:firstLineChars="200"/>
        <w:rPr>
          <w:rFonts w:ascii="黑体" w:eastAsia="黑体" w:hAnsi="黑体" w:cs="黑体" w:hint="default"/>
          <w:sz w:val="32"/>
          <w:szCs w:val="32"/>
          <w:lang w:val="en-US" w:eastAsia="zh-CN"/>
        </w:rPr>
      </w:pPr>
      <w:r>
        <w:rPr>
          <w:rFonts w:ascii="黑体" w:eastAsia="黑体" w:hAnsi="黑体" w:cs="黑体" w:hint="eastAsia"/>
          <w:sz w:val="32"/>
          <w:szCs w:val="32"/>
        </w:rPr>
        <w:t xml:space="preserve">一、申报</w:t>
      </w: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 xml:space="preserve">项目情况</w:t>
      </w:r>
    </w:p>
    <w:p>
      <w:pPr>
        <w:widowControl w:val="0"/>
        <w:wordWrap/>
        <w:adjustRightInd/>
        <w:snapToGrid/>
        <w:spacing w:line="560" w:lineRule="exact"/>
        <w:ind w:left="0" w:right="0" w:firstLine="640" w:leftChars="0" w:firstLineChars="20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 xml:space="preserve">本次申报包括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 xml:space="preserve">青年和原创探索项目，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支持科研人员面向基础性、战略性、前瞻性问题，自主选题、自由探索。</w:t>
      </w:r>
    </w:p>
    <w:p>
      <w:pPr>
        <w:widowControl w:val="0"/>
        <w:wordWrap/>
        <w:adjustRightInd/>
        <w:snapToGrid/>
        <w:spacing w:line="560" w:lineRule="exact"/>
        <w:ind w:left="0" w:right="0" w:firstLine="640" w:leftChars="0" w:firstLineChars="20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项目执行期一般不超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过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2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年，实行经费包干制，无需编制预算。</w:t>
      </w:r>
    </w:p>
    <w:p>
      <w:pPr>
        <w:widowControl w:val="0"/>
        <w:wordWrap/>
        <w:adjustRightInd/>
        <w:snapToGrid/>
        <w:spacing w:line="560" w:lineRule="exact"/>
        <w:ind w:left="0" w:right="0" w:firstLine="640" w:leftChars="0" w:firstLineChars="20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 xml:space="preserve">其中，青年项目资助标准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每项不超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过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1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0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万元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 xml:space="preserve">，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原创探索项目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 xml:space="preserve">资助标准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每项不超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过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2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0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万元。</w:t>
      </w:r>
    </w:p>
    <w:p>
      <w:pPr>
        <w:widowControl w:val="0"/>
        <w:wordWrap/>
        <w:adjustRightInd/>
        <w:snapToGrid/>
        <w:spacing w:line="560" w:lineRule="exact"/>
        <w:ind w:left="0" w:right="0" w:firstLine="640" w:leftChars="0" w:firstLineChars="200"/>
        <w:rPr>
          <w:rFonts w:ascii="黑体" w:eastAsia="黑体" w:hAnsi="黑体" w:cs="黑体" w:hint="default"/>
          <w:sz w:val="32"/>
          <w:szCs w:val="32"/>
          <w:lang w:val="en-US" w:eastAsia="zh-CN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 xml:space="preserve">二、申报数量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</w:pP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1.</w:t>
      </w:r>
      <w:r>
        <w:rPr>
          <w:rFonts w:ascii="仿宋_GB2312" w:eastAsia="仿宋_GB2312" w:hAnsi="仿宋_GB2312" w:cs="仿宋_GB2312" w:hint="eastAsia"/>
          <w:kern w:val="2"/>
          <w:sz w:val="32"/>
          <w:szCs w:val="32"/>
          <w:highlight w:val="none"/>
        </w:rPr>
        <w:t xml:space="preserve">申</w:t>
      </w:r>
      <w:r>
        <w:rPr>
          <w:rFonts w:ascii="仿宋_GB2312" w:eastAsia="仿宋_GB2312" w:hAnsi="仿宋_GB2312" w:cs="仿宋_GB2312" w:hint="eastAsia"/>
          <w:kern w:val="2"/>
          <w:sz w:val="32"/>
          <w:szCs w:val="32"/>
          <w:highlight w:val="none"/>
          <w:lang w:val="en-US" w:eastAsia="zh-CN"/>
        </w:rPr>
        <w:t xml:space="preserve">报</w:t>
      </w:r>
      <w:r>
        <w:rPr>
          <w:rFonts w:ascii="仿宋_GB2312" w:eastAsia="仿宋_GB2312" w:hAnsi="仿宋_GB2312" w:cs="仿宋_GB2312" w:hint="eastAsia"/>
          <w:kern w:val="2"/>
          <w:sz w:val="32"/>
          <w:szCs w:val="32"/>
          <w:highlight w:val="none"/>
        </w:rPr>
        <w:t xml:space="preserve">人</w:t>
      </w:r>
      <w:r>
        <w:rPr>
          <w:rFonts w:ascii="仿宋_GB2312" w:eastAsia="仿宋_GB2312" w:hAnsi="仿宋_GB2312" w:cs="仿宋_GB2312" w:hint="eastAsia"/>
          <w:sz w:val="32"/>
          <w:szCs w:val="32"/>
          <w:highlight w:val="none"/>
        </w:rPr>
        <w:t xml:space="preserve">同一年度市自然科学基金项目</w:t>
      </w:r>
      <w:r>
        <w:rPr>
          <w:rFonts w:ascii="仿宋_GB2312" w:eastAsia="仿宋_GB2312" w:hAnsi="仿宋_GB2312" w:cs="仿宋_GB2312" w:hint="eastAsia"/>
          <w:sz w:val="32"/>
          <w:szCs w:val="32"/>
          <w:highlight w:val="none"/>
          <w:lang w:eastAsia="zh-CN"/>
        </w:rPr>
        <w:t xml:space="preserve">（</w:t>
      </w:r>
      <w:r>
        <w:rPr>
          <w:rFonts w:ascii="仿宋_GB2312" w:eastAsia="仿宋_GB2312" w:hAnsi="仿宋_GB2312" w:cs="仿宋_GB2312" w:hint="eastAsia"/>
          <w:sz w:val="32"/>
          <w:szCs w:val="32"/>
          <w:highlight w:val="none"/>
          <w:lang w:val="en-US" w:eastAsia="zh-CN"/>
        </w:rPr>
        <w:t xml:space="preserve">青年项目、原创探索项目、重点项目、联合基金项目</w:t>
      </w:r>
      <w:r>
        <w:rPr>
          <w:rFonts w:ascii="仿宋_GB2312" w:eastAsia="仿宋_GB2312" w:hAnsi="仿宋_GB2312" w:cs="仿宋_GB2312" w:hint="eastAsia"/>
          <w:sz w:val="32"/>
          <w:szCs w:val="32"/>
          <w:highlight w:val="none"/>
          <w:lang w:eastAsia="zh-CN"/>
        </w:rPr>
        <w:t xml:space="preserve">）</w:t>
      </w:r>
      <w:r>
        <w:rPr>
          <w:rFonts w:ascii="仿宋_GB2312" w:eastAsia="仿宋_GB2312" w:hAnsi="仿宋_GB2312" w:cs="仿宋_GB2312" w:hint="eastAsia"/>
          <w:sz w:val="32"/>
          <w:szCs w:val="32"/>
          <w:highlight w:val="none"/>
        </w:rPr>
        <w:t xml:space="preserve">限</w:t>
      </w:r>
      <w:r>
        <w:rPr>
          <w:rFonts w:ascii="仿宋_GB2312" w:eastAsia="仿宋_GB2312" w:hAnsi="仿宋_GB2312" w:cs="仿宋_GB2312" w:hint="eastAsia"/>
          <w:sz w:val="32"/>
          <w:szCs w:val="32"/>
          <w:highlight w:val="none"/>
        </w:rPr>
        <w:t xml:space="preserve">报</w:t>
      </w:r>
      <w:r>
        <w:rPr>
          <w:rFonts w:ascii="仿宋_GB2312" w:eastAsia="仿宋_GB2312" w:hAnsi="仿宋_GB2312" w:cs="仿宋_GB2312" w:hint="eastAsia"/>
          <w:sz w:val="32"/>
          <w:szCs w:val="32"/>
          <w:highlight w:val="none"/>
        </w:rPr>
        <w:t xml:space="preserve">1</w:t>
      </w:r>
      <w:r>
        <w:rPr>
          <w:rFonts w:ascii="仿宋_GB2312" w:eastAsia="仿宋_GB2312" w:hAnsi="仿宋_GB2312" w:cs="仿宋_GB2312" w:hint="eastAsia"/>
          <w:sz w:val="32"/>
          <w:szCs w:val="32"/>
          <w:highlight w:val="none"/>
        </w:rPr>
        <w:t xml:space="preserve">项</w:t>
      </w:r>
      <w:r>
        <w:rPr>
          <w:rFonts w:ascii="仿宋_GB2312" w:eastAsia="仿宋_GB2312" w:hAnsi="仿宋_GB2312" w:cs="仿宋_GB2312" w:hint="eastAsia"/>
          <w:sz w:val="32"/>
          <w:szCs w:val="32"/>
          <w:highlight w:val="none"/>
          <w:lang w:eastAsia="zh-CN"/>
        </w:rPr>
        <w:t xml:space="preserve"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</w:pP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2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.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原创探索项目实行限项申报，主管单位要严格按照数量要求进行推荐，超过推荐数量的推荐函，按推荐顺序从前往后截取。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hAnsi="??" w:cs="Times New Roman" w:hint="default"/>
          <w:sz w:val="32"/>
          <w:szCs w:val="32"/>
          <w:highlight w:val="none"/>
          <w:lang w:val="en-US" w:eastAsia="zh-CN"/>
        </w:rPr>
      </w:pP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3.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 xml:space="preserve">原创探索项目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  <w:lang w:eastAsia="zh-CN"/>
        </w:rPr>
        <w:t xml:space="preserve">按照</w:t>
      </w:r>
      <w:r>
        <w:rPr>
          <w:rFonts w:ascii="仿宋_GB2312" w:eastAsia="仿宋_GB2312" w:cs="仿宋_GB2312"/>
          <w:sz w:val="32"/>
          <w:szCs w:val="32"/>
        </w:rPr>
        <w:t xml:space="preserve">202</w:t>
      </w:r>
      <w:r>
        <w:rPr>
          <w:rFonts w:ascii="仿宋_GB2312" w:eastAsia="仿宋_GB2312" w:cs="仿宋_GB2312" w:hint="eastAsia"/>
          <w:sz w:val="32"/>
          <w:szCs w:val="32"/>
          <w:lang w:val="en-US" w:eastAsia="zh-CN"/>
        </w:rPr>
        <w:t xml:space="preserve">4</w:t>
      </w:r>
      <w:r>
        <w:rPr>
          <w:rFonts w:ascii="仿宋_GB2312" w:eastAsia="仿宋_GB2312" w:cs="仿宋_GB2312" w:hint="eastAsia"/>
          <w:sz w:val="32"/>
          <w:szCs w:val="32"/>
        </w:rPr>
        <w:t xml:space="preserve">年</w:t>
      </w:r>
      <w:r>
        <w:rPr>
          <w:rFonts w:ascii="仿宋_GB2312" w:eastAsia="仿宋_GB2312" w:cs="仿宋_GB2312" w:hint="eastAsia"/>
          <w:sz w:val="32"/>
          <w:szCs w:val="32"/>
          <w:lang w:eastAsia="zh-CN"/>
        </w:rPr>
        <w:t xml:space="preserve">项目申报单位</w:t>
      </w:r>
      <w:r>
        <w:rPr>
          <w:rFonts w:ascii="仿宋_GB2312" w:eastAsia="仿宋_GB2312" w:cs="仿宋_GB2312" w:hint="eastAsia"/>
          <w:sz w:val="32"/>
          <w:szCs w:val="32"/>
        </w:rPr>
        <w:t xml:space="preserve">基础研究支出经费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  <w:lang w:val="en-US" w:eastAsia="zh-CN"/>
        </w:rPr>
        <w:t xml:space="preserve">和增长率、青岛市基础研究增长率的基础上实行分档限项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  <w:lang w:eastAsia="zh-CN"/>
        </w:rPr>
        <w:t xml:space="preserve">推荐，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  <w:lang w:val="en-US" w:eastAsia="zh-CN"/>
        </w:rPr>
        <w:t xml:space="preserve">同时，结合申报单位、主管单位的往年绩效和项目验收质量等进行适当调整。</w:t>
      </w:r>
    </w:p>
    <w:p>
      <w:pPr>
        <w:widowControl w:val="0"/>
        <w:wordWrap/>
        <w:adjustRightInd/>
        <w:snapToGrid/>
        <w:spacing w:line="560" w:lineRule="exact"/>
        <w:ind w:left="0" w:right="0" w:firstLine="640" w:leftChars="0" w:firstLineChars="200"/>
        <w:rPr>
          <w:rFonts w:ascii="黑体" w:eastAsia="黑体" w:hAnsi="黑体" w:cs="黑体" w:hint="default"/>
          <w:sz w:val="32"/>
          <w:szCs w:val="32"/>
          <w:lang w:val="en-US" w:eastAsia="zh-CN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 xml:space="preserve">三、项目过程管理和验收</w:t>
      </w:r>
    </w:p>
    <w:p>
      <w:pPr>
        <w:widowControl w:val="0"/>
        <w:spacing w:line="560" w:lineRule="exact"/>
        <w:ind w:firstLine="640" w:firstLineChars="200"/>
        <w:rPr>
          <w:rFonts w:ascii="仿宋_GB2312" w:eastAsia="仿宋_GB2312" w:hAnsi="仿宋_GB2312" w:cs="仿宋_GB2312" w:hint="eastAsia"/>
          <w:kern w:val="0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  <w:lang w:val="en-US" w:eastAsia="zh-CN"/>
        </w:rPr>
        <w:t xml:space="preserve">1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  <w:lang w:val="en-US" w:eastAsia="zh-CN"/>
        </w:rPr>
        <w:t xml:space="preserve">.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  <w:lang w:val="en-US" w:eastAsia="zh-CN"/>
        </w:rPr>
        <w:t xml:space="preserve">项目申报单位和申报人须按照科技计划项目有关管理办法、规定等开展研究和管理，按时参加验收，如有变更请参考《青岛市科技计划项目实施过程管理办法》及时向主管单位反馈并完成变更流程。</w:t>
      </w:r>
    </w:p>
    <w:p>
      <w:pPr>
        <w:widowControl w:val="0"/>
        <w:spacing w:line="560" w:lineRule="exact"/>
        <w:ind w:firstLine="640" w:firstLineChars="200"/>
        <w:rPr>
          <w:rFonts w:ascii="仿宋_GB2312" w:eastAsia="仿宋_GB2312" w:hAnsi="仿宋_GB2312" w:cs="仿宋_GB2312" w:hint="eastAsia"/>
          <w:kern w:val="0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  <w:lang w:val="en-US" w:eastAsia="zh-CN"/>
        </w:rPr>
        <w:t xml:space="preserve">2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  <w:lang w:val="en-US" w:eastAsia="zh-CN"/>
        </w:rPr>
        <w:t xml:space="preserve">.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  <w:lang w:val="en-US" w:eastAsia="zh-CN"/>
        </w:rPr>
        <w:t xml:space="preserve">项目主管单位应该规范验收材料组织，避免出现专家组构成未严格覆盖专业要求、专家评议意见签署不规范、财务账面支出结余与验收意见金额不符、支撑材料缺失等情况。市科技局将根据各单位验收情况进行抽查。</w:t>
      </w:r>
    </w:p>
    <w:p>
      <w:pPr>
        <w:widowControl w:val="0"/>
        <w:spacing w:line="560" w:lineRule="exact"/>
        <w:ind w:firstLine="640" w:firstLineChars="200"/>
        <w:rPr>
          <w:rFonts w:ascii="仿宋_GB2312" w:eastAsia="仿宋_GB2312" w:hAnsi="仿宋_GB2312" w:cs="仿宋_GB2312" w:hint="default"/>
          <w:kern w:val="0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  <w:lang w:val="en-US" w:eastAsia="zh-CN"/>
        </w:rPr>
        <w:t xml:space="preserve">3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  <w:lang w:val="en-US" w:eastAsia="zh-CN"/>
        </w:rPr>
        <w:t xml:space="preserve">.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  <w:lang w:val="en-US" w:eastAsia="zh-CN"/>
        </w:rPr>
        <w:t xml:space="preserve">项目资金的使用管理要符合《青岛市科学技术专项资金管理办法》等规定，杜绝支出进度滞后、项目预算执行率偏低且缺少必要说明、决算编制不够规范等问题，对于验收结论为未通过或结题的项目，将结余资金按原渠道退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Style w:val="Strong"/>
          <w:rFonts w:ascii="黑体" w:eastAsia="黑体" w:hAnsi="黑体" w:cs="黑体" w:hint="eastAsia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highlight w:val="none"/>
          <w:lang w:eastAsia="zh-CN"/>
        </w:rPr>
      </w:pPr>
      <w:r>
        <w:rPr>
          <w:rStyle w:val="Strong"/>
          <w:rFonts w:ascii="黑体" w:eastAsia="黑体" w:hAnsi="黑体" w:cs="黑体" w:hint="eastAsia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color="auto" w:fill="FFFFFF"/>
          <w:lang w:val="en-US" w:eastAsia="zh-CN"/>
        </w:rPr>
        <w:t xml:space="preserve">四</w:t>
      </w:r>
      <w:r>
        <w:rPr>
          <w:rStyle w:val="Strong"/>
          <w:rFonts w:ascii="黑体" w:eastAsia="黑体" w:hAnsi="黑体" w:cs="黑体" w:hint="eastAsia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color="auto" w:fill="FFFFFF"/>
          <w:lang w:eastAsia="zh-CN"/>
        </w:rPr>
        <w:t xml:space="preserve">、科研诚信管理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cs="仿宋_GB2312" w:hint="default"/>
          <w:sz w:val="32"/>
          <w:szCs w:val="32"/>
          <w:highlight w:val="none"/>
          <w:lang w:val="en-US" w:eastAsia="zh-CN"/>
        </w:rPr>
      </w:pPr>
      <w:r>
        <w:rPr>
          <w:rFonts w:ascii="仿宋_GB2312" w:eastAsia="仿宋_GB2312" w:cs="仿宋_GB2312" w:hint="eastAsia"/>
          <w:sz w:val="32"/>
          <w:szCs w:val="32"/>
          <w:highlight w:val="none"/>
          <w:lang w:val="en-US" w:eastAsia="zh-CN"/>
        </w:rPr>
        <w:t xml:space="preserve">1.</w:t>
      </w:r>
      <w:r>
        <w:rPr>
          <w:rFonts w:ascii="仿宋_GB2312" w:eastAsia="仿宋_GB2312" w:cs="仿宋_GB2312" w:hint="default"/>
          <w:sz w:val="32"/>
          <w:szCs w:val="32"/>
          <w:highlight w:val="none"/>
          <w:lang w:val="en-US" w:eastAsia="zh-CN"/>
        </w:rPr>
        <w:t xml:space="preserve">科研人员要践行科学家精神，坚守学术诚信，开展负责任研究。确定研究选题应坚持</w:t>
      </w:r>
      <w:r>
        <w:rPr>
          <w:rFonts w:ascii="仿宋_GB2312" w:eastAsia="仿宋_GB2312" w:cs="仿宋_GB2312" w:hint="eastAsia"/>
          <w:sz w:val="32"/>
          <w:szCs w:val="32"/>
          <w:highlight w:val="none"/>
          <w:lang w:val="en-US" w:eastAsia="zh-CN"/>
        </w:rPr>
        <w:t xml:space="preserve">“</w:t>
      </w:r>
      <w:r>
        <w:rPr>
          <w:rFonts w:ascii="仿宋_GB2312" w:eastAsia="仿宋_GB2312" w:cs="仿宋_GB2312" w:hint="default"/>
          <w:sz w:val="32"/>
          <w:szCs w:val="32"/>
          <w:highlight w:val="none"/>
          <w:lang w:val="en-US" w:eastAsia="zh-CN"/>
        </w:rPr>
        <w:t xml:space="preserve">四个面向</w:t>
      </w:r>
      <w:r>
        <w:rPr>
          <w:rFonts w:ascii="仿宋_GB2312" w:eastAsia="仿宋_GB2312" w:cs="仿宋_GB2312" w:hint="eastAsia"/>
          <w:sz w:val="32"/>
          <w:szCs w:val="32"/>
          <w:highlight w:val="none"/>
          <w:lang w:val="en-US" w:eastAsia="zh-CN"/>
        </w:rPr>
        <w:t xml:space="preserve">”</w:t>
      </w:r>
      <w:r>
        <w:rPr>
          <w:rFonts w:ascii="仿宋_GB2312" w:eastAsia="仿宋_GB2312" w:cs="仿宋_GB2312" w:hint="default"/>
          <w:sz w:val="32"/>
          <w:szCs w:val="32"/>
          <w:highlight w:val="none"/>
          <w:lang w:val="en-US" w:eastAsia="zh-CN"/>
        </w:rPr>
        <w:t xml:space="preserve">，突出问题导向，符合科技伦理要求与科技安全规定，避免简单重复或低水平研究，避免脱离实际或盲目追求热点，不得开展法律法规禁止的研究。申报项目应真实、准确、客观提供申报材料，不得使用相同或相似研究内容重复申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</w:pPr>
      <w:r>
        <w:rPr>
          <w:rFonts w:ascii="仿宋_GB2312" w:eastAsia="仿宋_GB2312" w:cs="仿宋_GB2312" w:hint="eastAsia"/>
          <w:sz w:val="32"/>
          <w:szCs w:val="32"/>
          <w:highlight w:val="none"/>
          <w:lang w:val="en-US" w:eastAsia="zh-CN"/>
        </w:rPr>
        <w:t xml:space="preserve">2.</w:t>
      </w:r>
      <w:r>
        <w:rPr>
          <w:rFonts w:ascii="仿宋_GB2312" w:eastAsia="仿宋_GB2312" w:cs="仿宋_GB2312" w:hint="default"/>
          <w:sz w:val="32"/>
          <w:szCs w:val="32"/>
          <w:highlight w:val="none"/>
          <w:lang w:val="en-US" w:eastAsia="zh-CN"/>
        </w:rPr>
        <w:t xml:space="preserve">科研人员应把科技伦理要求贯穿到研究活动的全过程，依规开展科技伦理审查，加强伦理风险防控。研究数据的采集、记录应确保完整、准确、可追溯，处理、保存和使用应符合专业规范和管理规定。参考借鉴他人观点或研究成果，应实事求是、力求准确，并以恰当方式标明来源。作为导师和研究团队负责人的，应加强对学生和研究团队成员的指导和监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</w:pP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3.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参与科研活动事项的各类科研院所、高校、企业、社会组织、专业服务机构等是科研作风学风、科研诚信建设、案件调查处理的第一责任主体，应严格自律、规范管理，防止失信行为，加强自我监督，遵守科研诚信管理各项规定，信守科研信用承诺，落实科研信用要求，履行诚信管理主体责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</w:pP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4.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对科研失信行为，视违规主体和行为性质，可采取以下处理措施：暂停科技计划（专项、基金等）项目等财政性资金支持的科学技术活动，限期整改；一定期限禁止承担或参与科技计划（专项、基金等）项目等财政性资金支持的科学技术活动等。</w:t>
      </w:r>
    </w:p>
    <w:p>
      <w:pPr>
        <w:widowControl w:val="0"/>
        <w:wordWrap/>
        <w:adjustRightInd/>
        <w:snapToGrid/>
        <w:spacing w:line="560" w:lineRule="exact"/>
        <w:ind w:left="0" w:right="0" w:firstLine="640" w:leftChars="0" w:firstLineChars="200"/>
        <w:rPr>
          <w:rFonts w:ascii="黑体" w:eastAsia="黑体" w:hAnsi="黑体" w:cs="黑体" w:hint="default"/>
          <w:sz w:val="32"/>
          <w:szCs w:val="32"/>
          <w:lang w:val="en-US" w:eastAsia="zh-CN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 xml:space="preserve">五、科技计划项目重点政策（不定时更新，局官网可下载）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</w:pP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1.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</w:rPr>
        <w:t xml:space="preserve">《青岛市自然科学基金项目管理办法》《青岛市自然科学基金联合基金项目管理办法》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（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</w:rPr>
        <w:t xml:space="preserve">青科规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</w:rPr>
        <w:t xml:space="preserve">〔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</w:rPr>
        <w:t xml:space="preserve">202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5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</w:rPr>
        <w:t xml:space="preserve">〕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</w:rPr>
        <w:t xml:space="preserve">1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</w:rPr>
        <w:t xml:space="preserve">号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）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</w:pP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2.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《青岛市科技计划项目管理办法》（青科规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〔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202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4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〕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2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号）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</w:pP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3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.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《青岛市科技计划项目验收管理办法》（青科字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〔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202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5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〕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1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6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号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）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</w:pP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4.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</w:rPr>
        <w:t xml:space="preserve">《青岛市科技计划项目实施过程管理办法》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（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</w:rPr>
        <w:t xml:space="preserve">青科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字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</w:rPr>
        <w:t xml:space="preserve">〔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</w:rPr>
        <w:t xml:space="preserve">202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5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</w:rPr>
        <w:t xml:space="preserve">〕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11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</w:rPr>
        <w:t xml:space="preserve">号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）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</w:pP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5.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</w:rPr>
        <w:t xml:space="preserve">《青岛市科学技术专项资金管理办法》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（青财科教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〔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202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5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〕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2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5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号）；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</w:pP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6.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《青岛市科研诚信管理办法》（青科字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〔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202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4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〕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2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号）；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</w:pPr>
      <w:r>
        <w:rPr>
          <w:rFonts w:ascii="仿宋_GB2312" w:eastAsia="仿宋_GB2312" w:hAnsi="??" w:cs="Times New Roman" w:hint="eastAsia"/>
          <w:sz w:val="32"/>
          <w:szCs w:val="32"/>
          <w:highlight w:val="none"/>
          <w:lang w:val="en-US" w:eastAsia="zh-CN"/>
        </w:rPr>
        <w:t xml:space="preserve">7.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《青岛市科技计划项目科研诚信管理工作规程》（青科字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〔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202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6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〕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2</w:t>
      </w:r>
      <w:r>
        <w:rPr>
          <w:rFonts w:ascii="仿宋_GB2312" w:eastAsia="仿宋_GB2312" w:hAnsi="??" w:cs="Times New Roman" w:hint="eastAsia"/>
          <w:sz w:val="32"/>
          <w:szCs w:val="32"/>
          <w:highlight w:val="none"/>
          <w:lang w:eastAsia="zh-CN"/>
        </w:rPr>
        <w:t xml:space="preserve">号）等。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Style w:val="Strong"/>
          <w:rFonts w:ascii="黑体" w:eastAsia="黑体" w:hAnsi="黑体" w:cs="黑体" w:hint="eastAsia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highlight w:val="none"/>
          <w:lang w:eastAsia="zh-CN"/>
        </w:rPr>
      </w:pPr>
      <w:r>
        <w:rPr>
          <w:rStyle w:val="Strong"/>
          <w:rFonts w:ascii="黑体" w:eastAsia="黑体" w:hAnsi="黑体" w:cs="黑体" w:hint="eastAsia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color="auto" w:fill="FFFFFF"/>
          <w:lang w:eastAsia="zh-CN"/>
        </w:rPr>
        <w:t xml:space="preserve">六、联系方式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 w:hAnsi="宋体" w:cs="仿宋_GB2312" w:hint="eastAsia"/>
          <w:sz w:val="32"/>
          <w:szCs w:val="32"/>
          <w:highlight w:val="none"/>
          <w:lang w:val="en-US" w:eastAsia="zh-CN"/>
        </w:rPr>
      </w:pPr>
      <w:r>
        <w:rPr>
          <w:rFonts w:ascii="仿宋_GB2312" w:eastAsia="仿宋_GB2312" w:hAnsi="宋体" w:cs="仿宋_GB2312" w:hint="eastAsia"/>
          <w:sz w:val="32"/>
          <w:szCs w:val="32"/>
          <w:highlight w:val="none"/>
          <w:lang w:eastAsia="zh-CN"/>
        </w:rPr>
        <w:t xml:space="preserve">业务咨询：基础研究处</w:t>
      </w:r>
      <w:r>
        <w:rPr>
          <w:rFonts w:ascii="仿宋_GB2312" w:eastAsia="仿宋_GB2312" w:hAnsi="宋体" w:cs="仿宋_GB2312" w:hint="eastAsia"/>
          <w:sz w:val="32"/>
          <w:szCs w:val="32"/>
          <w:highlight w:val="none"/>
          <w:lang w:val="en-US" w:eastAsia="zh-CN"/>
        </w:rPr>
        <w:t xml:space="preserve"> 85911053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/>
          <w:highlight w:val="none"/>
          <w:lang w:val="en-US" w:eastAsia="zh-CN"/>
        </w:rPr>
      </w:pPr>
      <w:r>
        <w:rPr>
          <w:rFonts w:ascii="仿宋_GB2312" w:eastAsia="仿宋_GB2312" w:cs="仿宋_GB2312" w:hint="eastAsia"/>
          <w:sz w:val="32"/>
          <w:szCs w:val="32"/>
          <w:highlight w:val="none"/>
          <w:lang w:val="en-US" w:eastAsia="zh-CN"/>
        </w:rPr>
        <w:t xml:space="preserve">业务监督：科技监督与诚信建设</w:t>
      </w:r>
      <w:r>
        <w:rPr>
          <w:rFonts w:ascii="仿宋_GB2312" w:eastAsia="仿宋_GB2312" w:cs="仿宋_GB2312" w:hint="eastAsia"/>
          <w:sz w:val="32"/>
          <w:szCs w:val="32"/>
          <w:highlight w:val="none"/>
          <w:lang w:val="en-US" w:eastAsia="zh-CN"/>
        </w:rPr>
        <w:t xml:space="preserve">处</w:t>
      </w:r>
      <w:r>
        <w:rPr>
          <w:rFonts w:ascii="仿宋_GB2312" w:eastAsia="仿宋_GB2312" w:cs="仿宋_GB2312" w:hint="eastAsia"/>
          <w:sz w:val="32"/>
          <w:szCs w:val="32"/>
          <w:highlight w:val="none"/>
          <w:lang w:val="en-US" w:eastAsia="zh-CN"/>
        </w:rPr>
        <w:t xml:space="preserve">85911316</w:t>
      </w:r>
    </w:p>
    <w:sectPr>
      <w:headerReference w:type="default" r:id="rId1"/>
      <w:footerReference w:type="default" r:id="rId2"/>
      <w:pgSz w:w="11906" w:h="16838"/>
      <w:pgMar w:top="2098" w:right="1474" w:bottom="1984" w:left="1587" w:header="851" w:footer="992" w:gutter="0"/>
      <w:pgNumType w:fmt="numberInDash" w:chapStyle="0" w:chapSep="hyphen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??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tabs>
        <w:tab w:val="clear" w:pos="4153"/>
        <w:tab w:val="clear" w:pos="8306"/>
        <w:tab w:val="center" w:pos="4153"/>
        <w:tab w:val="right" w:pos="8306"/>
      </w:tabs>
    </w:pPr>
    <w:r>
      <w:pict>
        <v:shape id="文本框 1" o:spid="_x0000_s1243" type="#_x0000_t202" style="height:2in;margin-left:0;margin-top:0;mso-position-horizontal:outside;mso-position-horizontal-relative:margin;mso-wrap-style:none;position:absolute;v-text-anchor:top;width:2in;z-index:0" filled="f" stroked="f">
          <v:fill o:detectmouseclick="t"/>
          <v:stroke linestyle="single"/>
          <v:textbox style="layout-flow:horizontal;mso-fit-shape-to-text:t" inset="0,0,0,0">
            <w:txbxContent>
              <w:p>
                <w:pPr>
                  <w:pStyle w:val="Footer"/>
                  <w:tabs>
                    <w:tab w:val="clear" w:pos="4153"/>
                    <w:tab w:val="clear" w:pos="8306"/>
                    <w:tab w:val="center" w:pos="4153"/>
                    <w:tab w:val="right" w:pos="8306"/>
                  </w:tabs>
                  <w:rPr>
                    <w:rFonts w:ascii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hAnsi="宋体" w:cs="宋体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hAnsi="宋体" w:cs="宋体" w:hint="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cs="宋体" w:hint="eastAsia"/>
                    <w:sz w:val="28"/>
                    <w:szCs w:val="28"/>
                  </w:rPr>
                  <w:t xml:space="preserve">1</w:t>
                </w:r>
                <w:r>
                  <w:rPr>
                    <w:rFonts w:ascii="宋体" w:hAnsi="宋体" w:cs="宋体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/>
    <w:r>
      <w:pict>
        <v:shape id="_x0000_s0136" type="#_x0000_t136" style="height:20pt;margin-left:20pt;margin-top:50pt;position:absolute;rotation:315;width:60pt;z-index:0" fillcolor="#808080" strokecolor="#c0c0c0" strokeweight="1pt">
          <v:stroke linestyle="single"/>
          <v:textpath style="font-family:&quot;宋体&quot;" string="中国石油大学（华东）&#10;2026年05月12日"/>
        </v:shape>
      </w:pict>
    </w:r>
    <w:r>
      <w:pict>
        <v:shape id="_x0000_s0136" type="#_x0000_t136" style="height:20pt;margin-left:180pt;margin-top:50pt;position:absolute;rotation:315;width:60pt;z-index:0" fillcolor="#808080" strokecolor="#c0c0c0" strokeweight="1pt">
          <v:stroke linestyle="single"/>
          <v:textpath style="font-family:&quot;宋体&quot;" string="中国石油大学（华东）&#10;2026年05月12日"/>
        </v:shape>
      </w:pict>
    </w:r>
    <w:r>
      <w:pict>
        <v:shape id="_x0000_s0136" type="#_x0000_t136" style="height:20pt;margin-left:340pt;margin-top:50pt;position:absolute;rotation:315;width:60pt;z-index:0" fillcolor="#808080" strokecolor="#c0c0c0" strokeweight="1pt">
          <v:stroke linestyle="single"/>
          <v:textpath style="font-family:&quot;宋体&quot;" string="中国石油大学（华东）&#10;2026年05月12日"/>
        </v:shape>
      </w:pict>
    </w:r>
    <w:r>
      <w:pict>
        <v:shape id="_x0000_s0136" type="#_x0000_t136" style="height:20pt;margin-left:20pt;margin-top:200pt;position:absolute;rotation:315;width:60pt;z-index:0" fillcolor="#808080" strokecolor="#c0c0c0" strokeweight="1pt">
          <v:stroke linestyle="single"/>
          <v:textpath style="font-family:&quot;宋体&quot;" string="中国石油大学（华东）&#10;2026年05月12日"/>
        </v:shape>
      </w:pict>
    </w:r>
    <w:r>
      <w:pict>
        <v:shape id="_x0000_s0136" type="#_x0000_t136" style="height:20pt;margin-left:180pt;margin-top:200pt;position:absolute;rotation:315;width:60pt;z-index:0" fillcolor="#808080" strokecolor="#c0c0c0" strokeweight="1pt">
          <v:stroke linestyle="single"/>
          <v:textpath style="font-family:&quot;宋体&quot;" string="中国石油大学（华东）&#10;2026年05月12日"/>
        </v:shape>
      </w:pict>
    </w:r>
    <w:r>
      <w:pict>
        <v:shape id="_x0000_s0136" type="#_x0000_t136" style="height:20pt;margin-left:340pt;margin-top:200pt;position:absolute;rotation:315;width:60pt;z-index:0" fillcolor="#808080" strokecolor="#c0c0c0" strokeweight="1pt">
          <v:stroke linestyle="single"/>
          <v:textpath style="font-family:&quot;宋体&quot;" string="中国石油大学（华东）&#10;2026年05月12日"/>
        </v:shape>
      </w:pict>
    </w:r>
    <w:r>
      <w:pict>
        <v:shape id="_x0000_s0136" type="#_x0000_t136" style="height:20pt;margin-left:20pt;margin-top:350pt;position:absolute;rotation:315;width:60pt;z-index:0" fillcolor="#808080" strokecolor="#c0c0c0" strokeweight="1pt">
          <v:stroke linestyle="single"/>
          <v:textpath style="font-family:&quot;宋体&quot;" string="中国石油大学（华东）&#10;2026年05月12日"/>
        </v:shape>
      </w:pict>
    </w:r>
    <w:r>
      <w:pict>
        <v:shape id="_x0000_s0136" type="#_x0000_t136" style="height:20pt;margin-left:180pt;margin-top:350pt;position:absolute;rotation:315;width:60pt;z-index:0" fillcolor="#808080" strokecolor="#c0c0c0" strokeweight="1pt">
          <v:stroke linestyle="single"/>
          <v:textpath style="font-family:&quot;宋体&quot;" string="中国石油大学（华东）&#10;2026年05月12日"/>
        </v:shape>
      </w:pict>
    </w:r>
    <w:r>
      <w:pict>
        <v:shape id="_x0000_s0136" type="#_x0000_t136" style="height:20pt;margin-left:340pt;margin-top:350pt;position:absolute;rotation:315;width:60pt;z-index:0" fillcolor="#808080" strokecolor="#c0c0c0" strokeweight="1pt">
          <v:stroke linestyle="single"/>
          <v:textpath style="font-family:&quot;宋体&quot;" string="中国石油大学（华东）&#10;2026年05月12日"/>
        </v:shape>
      </w:pict>
    </w:r>
    <w:r>
      <w:pict>
        <v:shape id="_x0000_s0136" type="#_x0000_t136" style="height:20pt;margin-left:20pt;margin-top:500pt;position:absolute;rotation:315;width:60pt;z-index:0" fillcolor="#808080" strokecolor="#c0c0c0" strokeweight="1pt">
          <v:stroke linestyle="single"/>
          <v:textpath style="font-family:&quot;宋体&quot;" string="中国石油大学（华东）&#10;2026年05月12日"/>
        </v:shape>
      </w:pict>
    </w:r>
    <w:r>
      <w:pict>
        <v:shape id="_x0000_s0136" type="#_x0000_t136" style="height:20pt;margin-left:180pt;margin-top:500pt;position:absolute;rotation:315;width:60pt;z-index:0" fillcolor="#808080" strokecolor="#c0c0c0" strokeweight="1pt">
          <v:stroke linestyle="single"/>
          <v:textpath style="font-family:&quot;宋体&quot;" string="中国石油大学（华东）&#10;2026年05月12日"/>
        </v:shape>
      </w:pict>
    </w:r>
    <w:r>
      <w:pict>
        <v:shape id="_x0000_s0136" type="#_x0000_t136" style="height:20pt;margin-left:340pt;margin-top:500pt;position:absolute;rotation:315;width:60pt;z-index:0" fillcolor="#808080" strokecolor="#c0c0c0" strokeweight="1pt">
          <v:stroke linestyle="single"/>
          <v:textpath style="font-family:&quot;宋体&quot;" string="中国石油大学（华东）&#10;2026年05月12日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10"/>
  <w:doNotTrackMoves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docVars>
    <w:docVar w:name="commondata" w:val="eyJoZGlkIjoiMWY0NmYwZjE3ZTE1YzIwNzhiYjUxYmZhZjY2ZTVmNjk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Output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 w:qFormat="1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paragraph" w:styleId="Heading3">
    <w:name w:val="标题 3"/>
    <w:basedOn w:val="Normal"/>
    <w:next w:val="Normal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cs="宋体" w:hint="eastAsia"/>
      <w:b/>
      <w:bCs/>
      <w:kern w:val="0"/>
      <w:sz w:val="27"/>
      <w:szCs w:val="27"/>
      <w:lang w:val="en-US" w:eastAsia="zh-CN" w:bidi="zh-HK"/>
    </w:rPr>
  </w:style>
  <w:style w:type="character" w:styleId="DefaultParagraphFont">
    <w:name w:val="默认段落字体"/>
    <w:semiHidden/>
    <w:rPr/>
  </w:style>
  <w:style w:type="table" w:styleId="TableNormal">
    <w:name w:val="普通表格"/>
    <w:semiHidden/>
    <w:rPr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正文文本"/>
    <w:basedOn w:val="Normal"/>
    <w:next w:val="正文文本首行缩进1"/>
    <w:qFormat/>
    <w:rPr>
      <w:rFonts w:ascii="Times New Roman" w:eastAsia="宋体" w:hAnsi="Times New Roman" w:cs="宋体"/>
      <w:sz w:val="30"/>
    </w:rPr>
  </w:style>
  <w:style w:type="paragraph" w:styleId="正文文本首行缩进1">
    <w:name w:val="正文文本首行缩进1"/>
    <w:basedOn w:val="BodyText"/>
    <w:qFormat/>
    <w:pPr>
      <w:spacing w:after="0" w:afterLines="0" w:line="500" w:lineRule="exact"/>
      <w:ind w:firstLine="420"/>
    </w:pPr>
    <w:rPr>
      <w:rFonts w:ascii="Times New Roman" w:eastAsia="楷体_GB2312" w:cs="Times New Roman"/>
      <w:sz w:val="28"/>
      <w:szCs w:val="28"/>
    </w:rPr>
  </w:style>
  <w:style w:type="paragraph" w:styleId="Footer">
    <w:name w:val="页脚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页眉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Normal(Web)">
    <w:name w:val="普通(网站)"/>
    <w:basedOn w:val="Normal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zh-HK"/>
    </w:rPr>
  </w:style>
  <w:style w:type="table" w:styleId="TableGrid">
    <w:name w:val="网格型"/>
    <w:basedOn w:val="TableNormal"/>
    <w:qFormat/>
    <w:pPr>
      <w:widowControl w:val="0"/>
      <w:jc w:val="both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要点"/>
    <w:basedOn w:val="DefaultParagraphFont"/>
    <w:qFormat/>
    <w:rPr>
      <w:rStyle w:val="DefaultParagraphFont"/>
      <w:b/>
    </w:rPr>
  </w:style>
  <w:style w:type="character" w:styleId="Hyperlink">
    <w:name w:val="超链接"/>
    <w:basedOn w:val="DefaultParagraphFont"/>
    <w:rPr>
      <w:rStyle w:val="DefaultParagraphFont"/>
      <w:color w:val="0000FF"/>
      <w:u w:val="single"/>
    </w:r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val="single" sz="4" space="0" 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fontTable" Target="fontTable.xml" /><Relationship Id="rId7" Type="http://schemas.openxmlformats.org/officeDocument/2006/relationships/settings" Target="settings.xml" /></Relationships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157256160</TotalTime>
  <Pages>4</Pages>
  <Words>1505</Words>
  <Characters>1565</Characters>
  <Application>WPS Office_11.1.0.12980_F1E327BC-269C-435d-A152-05C5408002CA</Application>
  <DocSecurity>0</DocSecurity>
  <Lines>0</Lines>
  <Paragraphs>0</Paragraphs>
  <CharactersWithSpaces>1566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Administrator</cp:lastModifiedBy>
  <cp:revision>1</cp:revision>
  <cp:lastPrinted>2026-05-11T03:24:27Z</cp:lastPrinted>
  <dcterms:created xsi:type="dcterms:W3CDTF">2025-04-10T09:03:46Z</dcterms:created>
  <dcterms:modified xsi:type="dcterms:W3CDTF">2026-05-12T06:44:57Z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2052-11.1.0.12980</vt:lpstr>
  </property>
  <property fmtid="{D5CDD505-2E9C-101B-9397-08002B2CF9AE}" pid="3" name="KSOTemplateDocerSaveRecord">
    <vt:lpstr>eyJoZGlkIjoiNWYyOGNlZjZmZTg0ODIyMjg3M2Q3ZDJkMWIwZjNkYzEiLCJ1c2VySWQiOiI1NzA3MDY3ODAifQ_x003D__x003D_</vt:lpstr>
  </property>
  <property fmtid="{D5CDD505-2E9C-101B-9397-08002B2CF9AE}" pid="4" name="ICV">
    <vt:lpstr>1583E810B5D04E89A2163F2E758DDE3F</vt:lpstr>
  </property>
</Properties>
</file>