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6"/>
        <w:tabs>
          <w:tab w:val="left" w:pos="2800"/>
        </w:tabs>
        <w:autoSpaceDE/>
        <w:autoSpaceDN/>
        <w:snapToGrid w:val="0"/>
        <w:spacing w:line="460" w:lineRule="atLeast"/>
        <w:ind w:firstLine="0" w:firstLineChars="0"/>
        <w:jc w:val="left"/>
      </w:pPr>
      <w:bookmarkStart w:id="0" w:name="_Toc1759149857"/>
      <w:r>
        <w:rPr>
          <w:b w:val="0"/>
          <w:bCs w:val="0"/>
        </w:rPr>
        <w:drawing>
          <wp:inline distT="0" distB="0" distL="114300" distR="114300">
            <wp:extent cx="861695" cy="1261110"/>
            <wp:effectExtent l="0" t="0" r="1905" b="8890"/>
            <wp:docPr id="5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61695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16"/>
        <w:tabs>
          <w:tab w:val="left" w:pos="2800"/>
        </w:tabs>
        <w:autoSpaceDE/>
        <w:autoSpaceDN/>
        <w:spacing w:line="240" w:lineRule="auto"/>
        <w:ind w:firstLine="0" w:firstLineChars="0"/>
        <w:rPr>
          <w:rFonts w:ascii="方正小标宋简体" w:hAnsi="方正小标宋简体" w:eastAsia="方正小标宋简体" w:cs="方正小标宋简体"/>
          <w:b w:val="0"/>
          <w:bC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</w:p>
    <w:p>
      <w:pPr>
        <w:pStyle w:val="16"/>
        <w:tabs>
          <w:tab w:val="left" w:pos="2800"/>
        </w:tabs>
        <w:autoSpaceDE/>
        <w:autoSpaceDN/>
        <w:spacing w:line="240" w:lineRule="auto"/>
        <w:ind w:firstLine="0" w:firstLineChars="0"/>
        <w:rPr>
          <w:rFonts w:ascii="方正小标宋简体" w:hAnsi="FZXiaoBiaoSong-B05S" w:eastAsia="方正小标宋简体" w:cs="方正小标宋简体"/>
          <w:b w:val="0"/>
          <w:bC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bookmarkStart w:id="1" w:name="_Toc1624278350"/>
      <w:bookmarkStart w:id="2" w:name="_Hlk54217646"/>
      <w:bookmarkStart w:id="3" w:name="_Hlk54221598"/>
      <w:bookmarkStart w:id="4" w:name="_Hlk30969097"/>
      <w:r>
        <w:rPr>
          <w:rFonts w:hint="eastAsia" w:ascii="方正小标宋简体" w:hAnsi="FZXiaoBiaoSong-B05S" w:eastAsia="方正小标宋简体" w:cs="方正小标宋简体"/>
          <w:b w:val="0"/>
          <w:bC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山东青创大学生创新创业</w:t>
      </w:r>
    </w:p>
    <w:p>
      <w:pPr>
        <w:pStyle w:val="16"/>
        <w:tabs>
          <w:tab w:val="left" w:pos="2800"/>
        </w:tabs>
        <w:autoSpaceDE/>
        <w:autoSpaceDN/>
        <w:spacing w:line="240" w:lineRule="auto"/>
        <w:ind w:firstLine="0" w:firstLineChars="0"/>
        <w:rPr>
          <w:rFonts w:ascii="方正小标宋简体" w:hAnsi="FZXiaoBiaoSong-B05S" w:eastAsia="方正小标宋简体" w:cs="方正小标宋简体"/>
          <w:b w:val="0"/>
          <w:bC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FZXiaoBiaoSong-B05S" w:eastAsia="方正小标宋简体" w:cs="方正小标宋简体"/>
          <w:b w:val="0"/>
          <w:bC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竞赛</w:t>
      </w:r>
      <w:bookmarkEnd w:id="1"/>
      <w:r>
        <w:rPr>
          <w:rFonts w:hint="eastAsia" w:ascii="方正小标宋简体" w:hAnsi="FZXiaoBiaoSong-B05S" w:eastAsia="方正小标宋简体" w:cs="方正小标宋简体"/>
          <w:b w:val="0"/>
          <w:bCs w:val="0"/>
          <w:color w:val="000000" w:themeColor="text1"/>
          <w:sz w:val="52"/>
          <w:szCs w:val="52"/>
          <w14:textFill>
            <w14:solidFill>
              <w14:schemeClr w14:val="tx1"/>
            </w14:solidFill>
          </w14:textFill>
        </w:rPr>
        <w:t>平台</w:t>
      </w:r>
      <w:bookmarkEnd w:id="2"/>
    </w:p>
    <w:bookmarkEnd w:id="3"/>
    <w:p>
      <w:pPr>
        <w:pStyle w:val="16"/>
        <w:tabs>
          <w:tab w:val="left" w:pos="2800"/>
        </w:tabs>
        <w:autoSpaceDE/>
        <w:autoSpaceDN/>
        <w:ind w:firstLine="0" w:firstLineChars="0"/>
        <w:rPr>
          <w:rFonts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pStyle w:val="16"/>
        <w:tabs>
          <w:tab w:val="left" w:pos="2800"/>
        </w:tabs>
        <w:autoSpaceDE/>
        <w:autoSpaceDN/>
        <w:spacing w:line="1200" w:lineRule="exact"/>
        <w:ind w:firstLine="0" w:firstLineChars="0"/>
        <w:rPr>
          <w:rFonts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  <w:bookmarkStart w:id="5" w:name="_Toc1047610443"/>
      <w:r>
        <w:rPr>
          <w:rFonts w:hint="eastAsia"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操</w:t>
      </w:r>
      <w:bookmarkEnd w:id="5"/>
    </w:p>
    <w:p>
      <w:pPr>
        <w:pStyle w:val="16"/>
        <w:tabs>
          <w:tab w:val="left" w:pos="2800"/>
        </w:tabs>
        <w:autoSpaceDE/>
        <w:autoSpaceDN/>
        <w:spacing w:line="1200" w:lineRule="exact"/>
        <w:ind w:firstLine="0" w:firstLineChars="0"/>
        <w:rPr>
          <w:rFonts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  <w:bookmarkStart w:id="6" w:name="_Toc2117777395"/>
      <w:r>
        <w:rPr>
          <w:rFonts w:hint="eastAsia"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作</w:t>
      </w:r>
      <w:bookmarkEnd w:id="6"/>
    </w:p>
    <w:p>
      <w:pPr>
        <w:pStyle w:val="16"/>
        <w:tabs>
          <w:tab w:val="left" w:pos="2800"/>
        </w:tabs>
        <w:autoSpaceDE/>
        <w:autoSpaceDN/>
        <w:spacing w:line="1200" w:lineRule="exact"/>
        <w:ind w:firstLine="0" w:firstLineChars="0"/>
        <w:rPr>
          <w:rFonts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</w:pPr>
      <w:bookmarkStart w:id="7" w:name="_Toc1090712387"/>
      <w:r>
        <w:rPr>
          <w:rFonts w:hint="eastAsia"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手</w:t>
      </w:r>
      <w:bookmarkEnd w:id="7"/>
    </w:p>
    <w:p>
      <w:pPr>
        <w:pStyle w:val="16"/>
        <w:tabs>
          <w:tab w:val="left" w:pos="2800"/>
        </w:tabs>
        <w:autoSpaceDE/>
        <w:autoSpaceDN/>
        <w:spacing w:line="1200" w:lineRule="exact"/>
        <w:ind w:firstLine="0" w:firstLineChars="0"/>
        <w:rPr>
          <w:rFonts w:ascii="FZCuQian-M17S" w:hAnsi="FZCuQian-M17S" w:eastAsia="FZCuQian-M17S" w:cs="方正粗倩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8" w:name="_Toc682677517"/>
      <w:r>
        <w:rPr>
          <w:rFonts w:hint="eastAsia" w:ascii="方正正大黑简体" w:hAnsi="FZCuQian-M17S" w:eastAsia="方正正大黑简体" w:cs="方正粗倩简体"/>
          <w:b w:val="0"/>
          <w:bCs w:val="0"/>
          <w:color w:val="000000" w:themeColor="text1"/>
          <w:sz w:val="72"/>
          <w:szCs w:val="72"/>
          <w14:textFill>
            <w14:solidFill>
              <w14:schemeClr w14:val="tx1"/>
            </w14:solidFill>
          </w14:textFill>
        </w:rPr>
        <w:t>册</w:t>
      </w:r>
      <w:bookmarkEnd w:id="4"/>
      <w:bookmarkEnd w:id="8"/>
    </w:p>
    <w:p>
      <w:pPr>
        <w:pStyle w:val="16"/>
        <w:tabs>
          <w:tab w:val="left" w:pos="2800"/>
        </w:tabs>
        <w:autoSpaceDE/>
        <w:autoSpaceDN/>
        <w:ind w:firstLine="0" w:firstLineChars="0"/>
        <w:jc w:val="both"/>
        <w:rPr>
          <w:rFonts w:ascii="方正小标宋简体" w:hAnsi="方正小标宋简体" w:eastAsia="方正小标宋简体" w:cs="方正小标宋简体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pStyle w:val="16"/>
        <w:tabs>
          <w:tab w:val="left" w:pos="2800"/>
        </w:tabs>
        <w:autoSpaceDE/>
        <w:autoSpaceDN/>
        <w:ind w:firstLine="0" w:firstLineChars="0"/>
        <w:rPr>
          <w:rFonts w:ascii="楷体_GB2312" w:hAnsi="楷体_GB2312" w:eastAsia="楷体_GB2312" w:cs="楷体_GB2312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</w:p>
    <w:p>
      <w:pPr>
        <w:pStyle w:val="16"/>
        <w:autoSpaceDE/>
        <w:autoSpaceDN/>
        <w:ind w:firstLine="0"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9" w:name="_Toc1903385945"/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学 </w:t>
      </w:r>
      <w:r>
        <w:rPr>
          <w:rFonts w:ascii="楷体_GB2312" w:hAnsi="楷体_GB2312" w:eastAsia="楷体_GB2312" w:cs="楷体_GB2312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生</w:t>
      </w:r>
      <w:r>
        <w:rPr>
          <w:rFonts w:hint="eastAsia" w:ascii="楷体_GB2312" w:hAnsi="楷体_GB2312" w:eastAsia="楷体_GB2312" w:cs="楷体_GB2312"/>
          <w:b w:val="0"/>
          <w:bCs w:val="0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 xml:space="preserve"> 平 台</w:t>
      </w:r>
      <w:bookmarkEnd w:id="9"/>
    </w:p>
    <w:p>
      <w:pPr>
        <w:autoSpaceDE/>
        <w:autoSpaceDN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utoSpaceDE/>
        <w:autoSpaceDN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autoSpaceDE/>
        <w:autoSpaceDN/>
        <w:ind w:firstLine="640"/>
        <w:rPr>
          <w:color w:val="000000" w:themeColor="text1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1134" w:footer="992" w:gutter="0"/>
          <w:cols w:space="425" w:num="1"/>
          <w:docGrid w:type="lines" w:linePitch="435" w:charSpace="0"/>
        </w:sectPr>
      </w:pPr>
    </w:p>
    <w:sdt>
      <w:sdtPr>
        <w:rPr>
          <w:rFonts w:asciiTheme="minorHAnsi" w:hAnsiTheme="minorHAnsi" w:eastAsiaTheme="minorEastAsia" w:cstheme="minorBidi"/>
          <w:color w:val="auto"/>
          <w:sz w:val="20"/>
          <w:szCs w:val="20"/>
          <w:lang w:val="zh-CN"/>
        </w:rPr>
        <w:id w:val="-1728598935"/>
        <w:docPartObj>
          <w:docPartGallery w:val="Table of Contents"/>
          <w:docPartUnique/>
        </w:docPartObj>
      </w:sdtPr>
      <w:sdtEndPr>
        <w:rPr>
          <w:rFonts w:ascii="黑体" w:hAnsi="黑体" w:eastAsia="黑体" w:cstheme="minorBidi"/>
          <w:b/>
          <w:bCs/>
          <w:color w:val="auto"/>
          <w:sz w:val="20"/>
          <w:szCs w:val="20"/>
          <w:lang w:val="en-US"/>
        </w:rPr>
      </w:sdtEndPr>
      <w:sdtContent>
        <w:p>
          <w:pPr>
            <w:pStyle w:val="33"/>
            <w:jc w:val="center"/>
            <w:rPr>
              <w:rFonts w:ascii="楷体_GB2312" w:hAnsi="楷体_GB2312" w:eastAsia="楷体_GB2312" w:cs="楷体_GB2312"/>
              <w:color w:val="auto"/>
              <w:sz w:val="30"/>
              <w:szCs w:val="30"/>
              <w:lang w:val="zh-CN" w:bidi="zh-CN"/>
            </w:rPr>
          </w:pPr>
          <w:bookmarkStart w:id="61" w:name="_GoBack"/>
          <w:bookmarkEnd w:id="61"/>
          <w:r>
            <w:rPr>
              <w:rFonts w:ascii="楷体_GB2312" w:hAnsi="楷体_GB2312" w:eastAsia="楷体_GB2312" w:cs="楷体_GB2312"/>
              <w:color w:val="auto"/>
              <w:sz w:val="30"/>
              <w:szCs w:val="30"/>
              <w:lang w:val="zh-CN" w:bidi="zh-CN"/>
            </w:rPr>
            <w:t>目</w:t>
          </w:r>
          <w:r>
            <w:rPr>
              <w:rFonts w:hint="eastAsia" w:ascii="楷体_GB2312" w:hAnsi="楷体_GB2312" w:eastAsia="楷体_GB2312" w:cs="楷体_GB2312"/>
              <w:color w:val="auto"/>
              <w:sz w:val="30"/>
              <w:szCs w:val="30"/>
              <w:lang w:val="zh-CN" w:bidi="zh-CN"/>
            </w:rPr>
            <w:t xml:space="preserve"> </w:t>
          </w:r>
          <w:r>
            <w:rPr>
              <w:rFonts w:ascii="楷体_GB2312" w:hAnsi="楷体_GB2312" w:eastAsia="楷体_GB2312" w:cs="楷体_GB2312"/>
              <w:color w:val="auto"/>
              <w:sz w:val="30"/>
              <w:szCs w:val="30"/>
              <w:lang w:val="zh-CN" w:bidi="zh-CN"/>
            </w:rPr>
            <w:t xml:space="preserve"> 录</w:t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rPr>
              <w:rFonts w:ascii="黑体" w:hAnsi="黑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黑体" w:hAnsi="黑体" w:eastAsia="黑体" w:cs="宋体"/>
              <w:sz w:val="28"/>
              <w:szCs w:val="28"/>
              <w:lang w:val="zh-CN" w:bidi="zh-CN"/>
            </w:rPr>
            <w:instrText xml:space="preserve"> TOC \o "1-3" \h \z \u </w:instrText>
          </w:r>
          <w:r>
            <w:rPr>
              <w:rFonts w:ascii="黑体" w:hAnsi="黑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fldChar w:fldCharType="begin"/>
          </w:r>
          <w:r>
            <w:instrText xml:space="preserve"> HYPERLINK \l "_Toc54131401"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一、账号管理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_Toc54131401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1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ind w:firstLine="505" w:firstLineChars="253"/>
            <w:rPr>
              <w:rFonts w:ascii="宋体" w:hAnsi="宋体" w:eastAsia="楷体_GB2312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"_Toc54131402" </w:instrText>
          </w:r>
          <w: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（一）账号注册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ab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instrText xml:space="preserve"> PAGEREF _Toc54131402 \h </w:instrTex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1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ind w:firstLine="505" w:firstLineChars="253"/>
            <w:rPr>
              <w:rFonts w:ascii="宋体" w:hAnsi="宋体" w:eastAsia="楷体_GB2312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"_Toc54131403" </w:instrText>
          </w:r>
          <w: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（二）个人信息维护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ab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instrText xml:space="preserve"> PAGEREF _Toc54131403 \h </w:instrTex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2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ind w:firstLine="505" w:firstLineChars="253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"_Toc54131404" </w:instrText>
          </w:r>
          <w: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（三）修改账号信息和密码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ab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instrText xml:space="preserve"> PAGEREF _Toc54131404 \h </w:instrTex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3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"_Toc54131405"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二、查看赛事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_Toc54131405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4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"_Toc54131406"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三、上报作品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_Toc54131406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5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ind w:firstLine="505" w:firstLineChars="253"/>
            <w:rPr>
              <w:rFonts w:ascii="宋体" w:hAnsi="宋体" w:eastAsia="楷体_GB2312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"_Toc54131407" </w:instrText>
          </w:r>
          <w: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（一）选择申报竞赛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ab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instrText xml:space="preserve"> PAGEREF _Toc54131407 \h </w:instrTex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5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ind w:firstLine="505" w:firstLineChars="253"/>
            <w:rPr>
              <w:rFonts w:ascii="宋体" w:hAnsi="宋体" w:eastAsia="楷体_GB2312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"_Toc54131408" </w:instrText>
          </w:r>
          <w: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（二）填报项目信息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ab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instrText xml:space="preserve"> PAGEREF _Toc54131408 \h </w:instrTex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t>5</w:t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hint="eastAsia" w:ascii="宋体" w:hAnsi="宋体" w:eastAsia="楷体_GB2312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"_Toc54131409"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四、查看已上报项目（项目负责人）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_Toc54131409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10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"_Toc54131410"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五、查看我参与的项目（团队成员）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_Toc54131410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11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"_Toc54131411"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六、作品动态与修改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_Toc54131411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12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"_Toc54131412"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七、作品由校级赛事被提报至省级赛事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_Toc54131412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13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spacing w:line="360" w:lineRule="auto"/>
            <w:rPr>
              <w:rFonts w:ascii="宋体" w:hAnsi="宋体" w:eastAsia="黑体" w:cs="宋体"/>
              <w:sz w:val="28"/>
              <w:szCs w:val="28"/>
              <w:lang w:val="zh-CN" w:bidi="zh-CN"/>
            </w:rPr>
          </w:pPr>
          <w:r>
            <w:fldChar w:fldCharType="begin"/>
          </w:r>
          <w:r>
            <w:instrText xml:space="preserve"> HYPERLINK \l "_Toc54131413" </w:instrText>
          </w:r>
          <w: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八、消息管理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ab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begin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instrText xml:space="preserve"> PAGEREF _Toc54131413 \h </w:instrTex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separate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t>14</w:t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  <w:r>
            <w:rPr>
              <w:rFonts w:ascii="宋体" w:hAnsi="宋体" w:eastAsia="黑体" w:cs="宋体"/>
              <w:sz w:val="28"/>
              <w:szCs w:val="28"/>
              <w:lang w:val="zh-CN" w:bidi="zh-CN"/>
            </w:rPr>
            <w:fldChar w:fldCharType="end"/>
          </w:r>
        </w:p>
        <w:p>
          <w:pPr>
            <w:pStyle w:val="28"/>
            <w:tabs>
              <w:tab w:val="right" w:leader="dot" w:pos="8845"/>
            </w:tabs>
            <w:snapToGrid w:val="0"/>
            <w:rPr>
              <w:rFonts w:ascii="黑体" w:hAnsi="黑体" w:eastAsia="黑体"/>
            </w:rPr>
          </w:pPr>
          <w:r>
            <w:rPr>
              <w:rFonts w:ascii="黑体" w:hAnsi="黑体" w:eastAsia="黑体" w:cs="宋体"/>
              <w:sz w:val="28"/>
              <w:szCs w:val="28"/>
              <w:lang w:val="zh-CN" w:bidi="zh-CN"/>
            </w:rPr>
            <w:fldChar w:fldCharType="end"/>
          </w:r>
        </w:p>
      </w:sdtContent>
    </w:sdt>
    <w:p>
      <w:pPr>
        <w:pStyle w:val="33"/>
        <w:keepNext w:val="0"/>
        <w:keepLines w:val="0"/>
        <w:widowControl w:val="0"/>
        <w:ind w:firstLine="641"/>
      </w:pPr>
    </w:p>
    <w:p>
      <w:pPr>
        <w:ind w:firstLine="641" w:firstLineChars="0"/>
      </w:pPr>
    </w:p>
    <w:p>
      <w:pPr>
        <w:ind w:firstLine="641" w:firstLineChars="0"/>
      </w:pPr>
    </w:p>
    <w:p>
      <w:pPr>
        <w:ind w:firstLine="641" w:firstLineChars="0"/>
      </w:pPr>
    </w:p>
    <w:p>
      <w:pPr>
        <w:ind w:firstLine="641" w:firstLineChars="0"/>
      </w:pPr>
    </w:p>
    <w:p>
      <w:pPr>
        <w:ind w:firstLine="641" w:firstLineChars="0"/>
      </w:pPr>
    </w:p>
    <w:p>
      <w:pPr>
        <w:ind w:firstLine="641" w:firstLineChars="0"/>
        <w:sectPr>
          <w:headerReference r:id="rId9" w:type="default"/>
          <w:pgSz w:w="11906" w:h="16838"/>
          <w:pgMar w:top="2098" w:right="1474" w:bottom="1984" w:left="1587" w:header="1134" w:footer="992" w:gutter="0"/>
          <w:cols w:space="0" w:num="1"/>
          <w:docGrid w:type="lines" w:linePitch="435" w:charSpace="0"/>
        </w:sectPr>
      </w:pPr>
    </w:p>
    <w:p>
      <w:pPr>
        <w:pStyle w:val="2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0" w:name="_Toc54131401"/>
      <w:bookmarkStart w:id="11" w:name="_Toc36368084_WPSOffice_Level1"/>
      <w:bookmarkStart w:id="12" w:name="_Toc4747806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一、账号管理</w:t>
      </w:r>
      <w:bookmarkEnd w:id="10"/>
      <w:bookmarkEnd w:id="11"/>
      <w:bookmarkEnd w:id="12"/>
    </w:p>
    <w:p>
      <w:pPr>
        <w:pStyle w:val="3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3" w:name="_Toc47478061"/>
      <w:bookmarkStart w:id="14" w:name="_Toc671893152_WPSOffice_Level2"/>
      <w:bookmarkStart w:id="15" w:name="_Toc1281035204"/>
      <w:bookmarkStart w:id="16" w:name="_Toc54131402"/>
      <w:bookmarkStart w:id="17" w:name="_Toc567285498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（一）账号注册</w:t>
      </w:r>
      <w:bookmarkEnd w:id="13"/>
      <w:bookmarkEnd w:id="14"/>
      <w:bookmarkEnd w:id="15"/>
      <w:bookmarkEnd w:id="16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1.进入青创网站首页（http://www.sdqingchuang.com）右上角的“登录”按钮进入青创学生平台登录界面，在登陆页面中选择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免费开通，立即注册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947285" cy="880745"/>
            <wp:effectExtent l="0" t="0" r="5715" b="825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880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859655" cy="2440305"/>
            <wp:effectExtent l="0" t="0" r="17145" b="23495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59655" cy="24403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2.根据网页提示输入信息，即可完成注册。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注1：务必实名注册，否则无法申报或加入项目团队。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注2：若“所属学院”无法选择，则须联系校级管理员解决。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注3：若在“所属学校”无法找到自己的学校，则通过校级管理员联系省级管理员解决。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706620" cy="2535555"/>
            <wp:effectExtent l="0" t="0" r="17780" b="444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06620" cy="25355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12640" cy="1817370"/>
            <wp:effectExtent l="0" t="0" r="10160" b="1143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12640" cy="1817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18" w:name="_Toc47478062"/>
      <w:bookmarkStart w:id="19" w:name="_Toc1835112453"/>
      <w:bookmarkStart w:id="20" w:name="_Toc54131403"/>
      <w:bookmarkStart w:id="21" w:name="_Toc1039189738_WPSOffice_Level2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（二）个人信息维护</w:t>
      </w:r>
      <w:bookmarkEnd w:id="18"/>
      <w:bookmarkEnd w:id="19"/>
      <w:bookmarkEnd w:id="20"/>
      <w:bookmarkEnd w:id="21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1.点击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登陆参赛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，在登陆页面内输入注册手机号和密码，即可登陆青创会员中心。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914900" cy="1883410"/>
            <wp:effectExtent l="0" t="0" r="12700" b="21590"/>
            <wp:docPr id="1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8834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2.任意点击，弹出维护信息页面，填写个人信息后，即可激活账户。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注：完成账户激活是申报项目以及加入团队的先决条件。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926330" cy="2446020"/>
            <wp:effectExtent l="0" t="0" r="1270" b="17780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26330" cy="24460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2" w:name="_Toc1058408527"/>
      <w:bookmarkStart w:id="23" w:name="_Toc47478063"/>
      <w:bookmarkStart w:id="24" w:name="_Toc177425515_WPSOffice_Level2"/>
      <w:bookmarkStart w:id="25" w:name="_Toc574859357"/>
      <w:bookmarkStart w:id="26" w:name="_Toc54131404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（三）修改账号信息</w:t>
      </w:r>
      <w:bookmarkEnd w:id="22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和密码</w:t>
      </w:r>
      <w:bookmarkEnd w:id="23"/>
      <w:bookmarkEnd w:id="24"/>
      <w:bookmarkEnd w:id="25"/>
      <w:bookmarkEnd w:id="26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点击右上角的“姓名”，弹出账号信息以及密码修改链接，点击“账号信息”进入账号信息查看界面，点击对应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“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修改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按钮，即可修改账号信息或密码。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918075" cy="2891155"/>
            <wp:effectExtent l="0" t="0" r="9525" b="4445"/>
            <wp:docPr id="249" name="图片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18075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836795" cy="2453005"/>
            <wp:effectExtent l="0" t="0" r="14605" b="10795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836795" cy="24530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27" w:name="_Toc132285246"/>
      <w:bookmarkStart w:id="28" w:name="_Toc1274416971"/>
      <w:bookmarkStart w:id="29" w:name="_Toc47478064"/>
      <w:bookmarkStart w:id="30" w:name="_Toc671893152_WPSOffice_Level1"/>
      <w:bookmarkStart w:id="31" w:name="_Toc54131405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查看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赛事</w:t>
      </w:r>
      <w:bookmarkEnd w:id="27"/>
      <w:bookmarkEnd w:id="28"/>
      <w:bookmarkEnd w:id="29"/>
      <w:bookmarkEnd w:id="30"/>
      <w:bookmarkEnd w:id="31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点击“赛事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中心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”，进入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赛事中心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界面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，查看当前正在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进行的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、未开始等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状态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的赛事信息。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777740" cy="2592705"/>
            <wp:effectExtent l="0" t="0" r="22860" b="23495"/>
            <wp:docPr id="251" name="图片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2592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选择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某赛事后的“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查看”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按钮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，进入赛事的详细信息界面，可查看赛事的详细信息。如下图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</w:p>
    <w:p>
      <w:pPr>
        <w:snapToGrid w:val="0"/>
        <w:spacing w:line="440" w:lineRule="atLeast"/>
        <w:ind w:firstLine="0" w:firstLineChars="0"/>
        <w:jc w:val="center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eastAsia="zh-CN"/>
        </w:rPr>
        <w:drawing>
          <wp:inline distT="0" distB="0" distL="114300" distR="114300">
            <wp:extent cx="5608955" cy="1755140"/>
            <wp:effectExtent l="0" t="0" r="14605" b="12700"/>
            <wp:docPr id="8" name="图片 8" descr="QQ截图20210312151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QQ截图2021031215160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drawing>
          <wp:inline distT="0" distB="0" distL="114300" distR="114300">
            <wp:extent cx="5612765" cy="2362835"/>
            <wp:effectExtent l="0" t="0" r="10795" b="14605"/>
            <wp:docPr id="1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2362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2" w:name="_Toc1039189738_WPSOffice_Level1"/>
      <w:bookmarkStart w:id="33" w:name="_Toc124136419"/>
      <w:bookmarkStart w:id="34" w:name="_Toc672554877"/>
      <w:bookmarkStart w:id="35" w:name="_Toc47478065"/>
      <w:bookmarkStart w:id="36" w:name="_Toc54131406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三、上报作品</w:t>
      </w:r>
      <w:bookmarkEnd w:id="32"/>
      <w:bookmarkEnd w:id="33"/>
      <w:bookmarkEnd w:id="34"/>
      <w:bookmarkEnd w:id="35"/>
      <w:bookmarkEnd w:id="36"/>
    </w:p>
    <w:p>
      <w:pPr>
        <w:pStyle w:val="3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37" w:name="_Toc1283328569_WPSOffice_Level2"/>
      <w:bookmarkStart w:id="38" w:name="_Toc1423383578"/>
      <w:bookmarkStart w:id="39" w:name="_Toc47478066"/>
      <w:bookmarkStart w:id="40" w:name="_Toc54131407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选择申报竞赛</w:t>
      </w:r>
      <w:bookmarkEnd w:id="37"/>
      <w:bookmarkEnd w:id="38"/>
      <w:bookmarkEnd w:id="39"/>
      <w:bookmarkEnd w:id="40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在“赛事中心”内，</w:t>
      </w:r>
      <w:r>
        <w:rPr>
          <w:rFonts w:hint="eastAsia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找到</w:t>
      </w:r>
      <w:r>
        <w:rPr>
          <w:rFonts w:hint="eastAsia"/>
          <w:color w:val="FF0000"/>
          <w:sz w:val="28"/>
          <w:szCs w:val="28"/>
          <w:lang w:val="en-US" w:eastAsia="zh-CN"/>
        </w:rPr>
        <w:t>中国石油大学（华东）第十七届挑战杯大赛</w:t>
      </w:r>
      <w:r>
        <w:rPr>
          <w:rFonts w:hint="eastAsia"/>
          <w:color w:val="000000" w:themeColor="text1"/>
          <w:sz w:val="28"/>
          <w:szCs w:val="28"/>
          <w:lang w:val="en-US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当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竞赛阶段为“学生申报”时，可点击“上报作品”，进行参赛作品的申报。注：当赛事处于其它阶段时，无法上报作品。</w:t>
      </w:r>
    </w:p>
    <w:p>
      <w:pPr>
        <w:snapToGrid w:val="0"/>
        <w:spacing w:line="440" w:lineRule="atLeast"/>
        <w:ind w:firstLine="0" w:firstLineChars="0"/>
        <w:jc w:val="center"/>
        <w:rPr>
          <w:rFonts w:hint="eastAsia" w:eastAsia="仿宋_GB2312"/>
          <w:sz w:val="28"/>
          <w:szCs w:val="28"/>
          <w:lang w:eastAsia="zh-CN"/>
        </w:rPr>
      </w:pPr>
      <w:r>
        <w:rPr>
          <w:rFonts w:hint="eastAsia" w:eastAsia="仿宋_GB2312"/>
          <w:sz w:val="28"/>
          <w:szCs w:val="28"/>
          <w:lang w:eastAsia="zh-CN"/>
        </w:rPr>
        <w:drawing>
          <wp:inline distT="0" distB="0" distL="114300" distR="114300">
            <wp:extent cx="5603240" cy="1702435"/>
            <wp:effectExtent l="0" t="0" r="5080" b="4445"/>
            <wp:docPr id="17" name="图片 17" descr="QQ截图20210312152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QQ截图20210312152145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603240" cy="1702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1" w:name="_Toc47478067"/>
      <w:bookmarkStart w:id="42" w:name="_Toc1987451513"/>
      <w:bookmarkStart w:id="43" w:name="_Toc54131408"/>
      <w:bookmarkStart w:id="44" w:name="_Toc1724992362_WPSOffice_Level2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（二）填报项目信息</w:t>
      </w:r>
      <w:bookmarkEnd w:id="41"/>
      <w:bookmarkEnd w:id="42"/>
      <w:bookmarkEnd w:id="43"/>
      <w:bookmarkEnd w:id="44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在上报作品界面，分别完善项目基本信息、团队信息、指导教师、团队成员。具体可根据页面提示信息，进行项目信息填选，以及资料、视频等文件的上传。</w:t>
      </w:r>
    </w:p>
    <w:p>
      <w:pPr>
        <w:numPr>
          <w:ilvl w:val="0"/>
          <w:numId w:val="1"/>
        </w:num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填写项目基本信息。填写无误后，点击“确定，进一步完善”，进行下一步，已填写内容将被保存。</w:t>
      </w:r>
    </w:p>
    <w:p>
      <w:pPr>
        <w:numPr>
          <w:numId w:val="0"/>
        </w:numPr>
        <w:snapToGrid w:val="0"/>
        <w:spacing w:line="440" w:lineRule="atLeas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drawing>
          <wp:inline distT="0" distB="0" distL="114300" distR="114300">
            <wp:extent cx="5612130" cy="6818630"/>
            <wp:effectExtent l="0" t="0" r="11430" b="8890"/>
            <wp:docPr id="3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5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81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</w:pP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drawing>
          <wp:inline distT="0" distB="0" distL="114300" distR="114300">
            <wp:extent cx="5612765" cy="7691120"/>
            <wp:effectExtent l="0" t="0" r="10795" b="5080"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29"/>
                    <a:srcRect b="6845"/>
                    <a:stretch>
                      <a:fillRect/>
                    </a:stretch>
                  </pic:blipFill>
                  <pic:spPr>
                    <a:xfrm>
                      <a:off x="0" y="0"/>
                      <a:ext cx="5612765" cy="769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481830" cy="265430"/>
            <wp:effectExtent l="0" t="0" r="13970" b="13970"/>
            <wp:docPr id="2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48183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2.填写项目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推荐人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信息。填写无误后，点击“确定，进一步完善”，进行下一步，已填写内容将被保存。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005580" cy="190500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11803" cy="1908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3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填加项目指导教师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。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点击页面右上角“添加指导老师”，在弹出框中填写指导老师基本信息，点击“确定”即可完添加1位指导老师。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在“操作”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栏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可进行编辑指导老师信息，调整指导老师位次，删除已添加指导老师等操作。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填写无误后，点击“确定，进一步完善”，进行下一步，已填写内容将被保存。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57725" cy="1961515"/>
            <wp:effectExtent l="0" t="0" r="15875" b="19685"/>
            <wp:docPr id="2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9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961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2553335" cy="2595880"/>
            <wp:effectExtent l="0" t="0" r="0" b="0"/>
            <wp:docPr id="1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5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558512" cy="26013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4.邀请并添加项目团队成员。项目团队成员采用邀请制，须团队成员预先在网站上注册并完成个人信息维护后（详见“一、账号管理”），方可被项目负责人邀请。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项目负责人输入被邀请成员的注册手机号和姓名，搜索后，确定成员信息，点击“邀请加入团队”即可。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邀请完成后，可在“操作”栏调整团队成员顺序，或删除团队成员。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已经作为项目负责人创建项目，或作为团队成员已被其他项目邀请，则不能被再被邀请。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802505" cy="1920875"/>
            <wp:effectExtent l="0" t="0" r="23495" b="9525"/>
            <wp:docPr id="2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802505" cy="1920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2958465" cy="2750185"/>
            <wp:effectExtent l="0" t="0" r="0" b="0"/>
            <wp:docPr id="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960199" cy="2751797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5.上报项目。可通过“查看详细”再次确认项目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，无误后点击“上报作品”，项目即可被提报至校级账户，等待校级审核。注：项目提交后，不可再进行编辑。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点击“暂存”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项目将被保存但不会提交上级审核，且仍可进行编辑。</w:t>
      </w:r>
      <w:bookmarkEnd w:id="17"/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436745" cy="1927860"/>
            <wp:effectExtent l="0" t="0" r="8255" b="2540"/>
            <wp:docPr id="25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1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436745" cy="19278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5" w:name="_Toc1136933553"/>
      <w:bookmarkStart w:id="46" w:name="_Toc54131409"/>
      <w:bookmarkStart w:id="47" w:name="_Toc47478068"/>
      <w:bookmarkStart w:id="48" w:name="_Toc177425515_WPSOffice_Level1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查看已上报项目（项目负责人）</w:t>
      </w:r>
      <w:bookmarkEnd w:id="45"/>
      <w:bookmarkEnd w:id="46"/>
      <w:bookmarkEnd w:id="47"/>
      <w:bookmarkEnd w:id="48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项目负责人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点击“已上报作品”模块，可查看已上报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的作品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信息。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在此可查看参与赛事的级别、赛事阶段以及作品的审核状态。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495165" cy="1932305"/>
            <wp:effectExtent l="0" t="0" r="635" b="2349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4495165" cy="193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点击“查看详细”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按钮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，进入作品详细信息界面，可查看已上报的作品信息详细内容。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549140" cy="1971675"/>
            <wp:effectExtent l="0" t="0" r="22860" b="952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54914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0" distR="0">
            <wp:extent cx="4523740" cy="2956560"/>
            <wp:effectExtent l="0" t="0" r="22860" b="1524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523740" cy="2956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49" w:name="_Toc47478069"/>
      <w:bookmarkStart w:id="50" w:name="_Toc1283328569_WPSOffice_Level1"/>
      <w:bookmarkStart w:id="51" w:name="_Toc132734265"/>
      <w:bookmarkStart w:id="52" w:name="_Toc54131410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查看我参与的项目（团队成员）</w:t>
      </w:r>
      <w:bookmarkEnd w:id="49"/>
      <w:bookmarkEnd w:id="50"/>
      <w:bookmarkEnd w:id="51"/>
      <w:bookmarkEnd w:id="52"/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团队成员点击“我参与的项目”，可查看参与项目的详细信息。</w:t>
      </w:r>
    </w:p>
    <w:p>
      <w:pPr>
        <w:snapToGrid w:val="0"/>
        <w:spacing w:line="440" w:lineRule="atLeast"/>
        <w:ind w:firstLine="0" w:firstLineChars="0"/>
        <w:jc w:val="center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4601845" cy="1735455"/>
            <wp:effectExtent l="0" t="0" r="20955" b="17145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4601845" cy="17354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3" w:name="_Toc47478070"/>
      <w:bookmarkStart w:id="54" w:name="_Toc1724992362_WPSOffice_Level1"/>
      <w:bookmarkStart w:id="55" w:name="_Toc54131411"/>
      <w:bookmarkStart w:id="56" w:name="_Toc1776766269"/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、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作品动态与修改</w:t>
      </w:r>
      <w:bookmarkEnd w:id="53"/>
      <w:bookmarkEnd w:id="54"/>
      <w:bookmarkEnd w:id="55"/>
      <w:bookmarkEnd w:id="56"/>
    </w:p>
    <w:p>
      <w:pPr>
        <w:snapToGrid w:val="0"/>
        <w:spacing w:line="440" w:lineRule="atLeast"/>
        <w:ind w:firstLine="560"/>
        <w:rPr>
          <w:rFonts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（一）校级竞赛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作品提交后，将经历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校级竞赛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组织方的资格审核。资格审核的结构分为“审核通过”“审核不通过”“审核预通过”三种情况，“审核通过”的作品将参与后续赛事流程。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在校级竞赛中提交作品后，作品将经过校级审核。审核结果为“审核通过”作品才可进入后续赛事流程。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若校级审核结果为“审核通过”，则作品将等待进行省级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网络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评审，不可再进行修改。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若校级审核结果为“审核不通过”，则作品无资格参与后续赛事流程，不可再进行修改。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若校级审核结果为“审核预通过”，则作品获得修改权限，学生参考“修改意见”（同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下图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），点击“编辑”按钮完善作品。</w:t>
      </w:r>
    </w:p>
    <w:p>
      <w:pPr>
        <w:snapToGrid w:val="0"/>
        <w:spacing w:line="440" w:lineRule="atLeast"/>
        <w:ind w:firstLine="0" w:firstLineChars="0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drawing>
          <wp:inline distT="0" distB="0" distL="0" distR="0">
            <wp:extent cx="4420235" cy="2277745"/>
            <wp:effectExtent l="0" t="0" r="2476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20235" cy="2277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作品修改完善后，须再次提交作品，等待再次审核，直至“审核通过”或“审核不通过”。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注：务必在规定时间内完成作品完善，若在竞赛切换到下一阶段前项目未处于“审核通过”状态，将失去后续参赛资格。具体赛事推进和时间安排以赛事组织方的通知和要求为准。</w:t>
      </w:r>
    </w:p>
    <w:p>
      <w:pPr>
        <w:snapToGrid w:val="0"/>
        <w:spacing w:line="440" w:lineRule="atLeast"/>
        <w:ind w:firstLine="560"/>
        <w:rPr>
          <w:rFonts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（二）省级竞赛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作品提交后，将经历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校级和省级竞赛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组织方的资格审核。资格审核的结构分为“审核通过”“审核不通过”“审核预通过”三种情况，“审核通过”的作品将参与后续赛事流程。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在省级竞赛中提交作品后，作品将经过校级和省级两级审核。两级审核均“审核通过”作品才可进入后续赛事流程。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若校级或省级审核结果为“审核通过”，则作品将等待进行省级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网络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评审，不可再进行修改。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若校级或省级审核结果为“审核不通过”，则作品无资格参与后续赛事流程，不可再进行修改。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若校级或省级审核结果为“审核预通过”，则作品获得修改权限，学生参考“修改意见”，点击“编辑”按钮完善作品。</w:t>
      </w:r>
    </w:p>
    <w:p>
      <w:pPr>
        <w:numPr>
          <w:ilvl w:val="0"/>
          <w:numId w:val="2"/>
        </w:numPr>
        <w:snapToGrid w:val="0"/>
        <w:spacing w:line="440" w:lineRule="atLeast"/>
        <w:ind w:left="0" w:firstLine="565" w:firstLineChars="202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作品修改完善后，须再次提交作品，等待再次审核，直至“审核通过”或“审核不通过”。</w:t>
      </w:r>
    </w:p>
    <w:p>
      <w:pPr>
        <w:snapToGrid w:val="0"/>
        <w:spacing w:line="440" w:lineRule="atLeast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注：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务必在规定时间内完成作品完善，若在竞赛切换到下一阶段前项目未处于“审核通过”状态，将失去后续参赛资格。具体赛事推进和时间安排以</w:t>
      </w:r>
      <w:r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赛事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组织方的通知和要求为准。</w:t>
      </w:r>
    </w:p>
    <w:p>
      <w:pPr>
        <w:pStyle w:val="2"/>
        <w:ind w:firstLine="560"/>
        <w:rPr>
          <w:sz w:val="28"/>
          <w:szCs w:val="28"/>
        </w:rPr>
      </w:pPr>
      <w:bookmarkStart w:id="57" w:name="_Toc27637071"/>
      <w:bookmarkStart w:id="58" w:name="_Toc54131412"/>
      <w:r>
        <w:rPr>
          <w:rFonts w:hint="eastAsia"/>
          <w:sz w:val="28"/>
          <w:szCs w:val="28"/>
        </w:rPr>
        <w:t>七</w:t>
      </w:r>
      <w:r>
        <w:rPr>
          <w:sz w:val="28"/>
          <w:szCs w:val="28"/>
        </w:rPr>
        <w:t>、作品由校级赛事被提报至省级赛事</w:t>
      </w:r>
      <w:bookmarkEnd w:id="57"/>
      <w:bookmarkEnd w:id="58"/>
    </w:p>
    <w:p>
      <w:pPr>
        <w:autoSpaceDE/>
        <w:autoSpaceDN/>
        <w:snapToGrid w:val="0"/>
        <w:spacing w:line="440" w:lineRule="atLeast"/>
        <w:ind w:firstLine="560"/>
        <w:jc w:val="left"/>
        <w:rPr>
          <w:rFonts w:cs="Times New Roman"/>
          <w:color w:val="000000"/>
          <w:kern w:val="2"/>
          <w:sz w:val="28"/>
          <w:szCs w:val="28"/>
          <w:lang w:val="en-US" w:bidi="ar-SA"/>
        </w:rPr>
      </w:pP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通过本</w:t>
      </w:r>
      <w:r>
        <w:rPr>
          <w:rFonts w:hint="eastAsia" w:cs="Times New Roman"/>
          <w:color w:val="000000"/>
          <w:kern w:val="2"/>
          <w:sz w:val="28"/>
          <w:szCs w:val="28"/>
          <w:lang w:val="en-US" w:bidi="ar-SA"/>
        </w:rPr>
        <w:t>平台</w:t>
      </w: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完成校级竞赛的优秀作品可直接推荐至有关省级竞赛，参与省级竞赛的审核、评审等赛事流程。推报操作由校级账户完成。</w:t>
      </w:r>
    </w:p>
    <w:p>
      <w:pPr>
        <w:autoSpaceDE/>
        <w:autoSpaceDN/>
        <w:snapToGrid w:val="0"/>
        <w:spacing w:line="440" w:lineRule="atLeast"/>
        <w:ind w:firstLine="560"/>
        <w:jc w:val="left"/>
        <w:rPr>
          <w:rFonts w:cs="Times New Roman"/>
          <w:color w:val="000000"/>
          <w:kern w:val="2"/>
          <w:sz w:val="28"/>
          <w:szCs w:val="28"/>
          <w:lang w:val="en-US" w:bidi="ar-SA"/>
        </w:rPr>
      </w:pP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当校级管理账户推荐作品至指定省级竞赛后，在校级组织方的指导下，学生须使用申报校级竞赛的个人账号登录网站“会员中心”，至“已上报作品”页面查看已被提报至省级赛事的作品，点击操作区域的“编辑”按钮重新编辑完善作品后提交省级竞赛，或点击“提交”按钮直接提交作品至省级竞赛。</w:t>
      </w:r>
    </w:p>
    <w:p>
      <w:pPr>
        <w:snapToGrid w:val="0"/>
        <w:spacing w:line="440" w:lineRule="atLeast"/>
        <w:ind w:firstLine="0" w:firstLineChars="0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sz w:val="28"/>
          <w:szCs w:val="28"/>
        </w:rPr>
        <w:drawing>
          <wp:inline distT="0" distB="0" distL="114300" distR="114300">
            <wp:extent cx="4998085" cy="2164715"/>
            <wp:effectExtent l="0" t="0" r="0" b="698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002021" cy="216677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utoSpaceDE/>
        <w:autoSpaceDN/>
        <w:snapToGrid w:val="0"/>
        <w:spacing w:line="440" w:lineRule="atLeast"/>
        <w:ind w:firstLine="560"/>
        <w:jc w:val="left"/>
        <w:rPr>
          <w:rFonts w:cs="Times New Roman"/>
          <w:color w:val="000000"/>
          <w:kern w:val="2"/>
          <w:sz w:val="28"/>
          <w:szCs w:val="28"/>
          <w:lang w:val="en-US" w:bidi="ar-SA"/>
        </w:rPr>
      </w:pP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提交作品后，作品将经过校级和省级两级审核，作品修改和完善规则与要求同上。</w:t>
      </w:r>
    </w:p>
    <w:p>
      <w:pPr>
        <w:pStyle w:val="2"/>
        <w:ind w:firstLine="560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59" w:name="_Toc54131413"/>
      <w:bookmarkStart w:id="60" w:name="_Toc639784545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八、消息管理</w:t>
      </w:r>
      <w:bookmarkEnd w:id="59"/>
      <w:bookmarkEnd w:id="60"/>
    </w:p>
    <w:p>
      <w:pPr>
        <w:autoSpaceDE/>
        <w:autoSpaceDN/>
        <w:snapToGrid w:val="0"/>
        <w:spacing w:line="440" w:lineRule="atLeast"/>
        <w:ind w:firstLine="560"/>
        <w:jc w:val="left"/>
        <w:rPr>
          <w:rFonts w:cs="Times New Roman"/>
          <w:color w:val="000000"/>
          <w:kern w:val="2"/>
          <w:sz w:val="28"/>
          <w:szCs w:val="28"/>
          <w:lang w:val="en-US" w:bidi="ar-SA"/>
        </w:rPr>
      </w:pPr>
      <w:r>
        <w:rPr>
          <w:rFonts w:hint="eastAsia" w:cs="Times New Roman"/>
          <w:color w:val="000000"/>
          <w:kern w:val="2"/>
          <w:sz w:val="28"/>
          <w:szCs w:val="28"/>
          <w:lang w:val="en-US" w:bidi="ar-SA"/>
        </w:rPr>
        <w:t>学生提交作品后，学校审核、</w:t>
      </w: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学校胜出和</w:t>
      </w:r>
      <w:r>
        <w:rPr>
          <w:rFonts w:hint="eastAsia" w:cs="Times New Roman"/>
          <w:color w:val="000000"/>
          <w:kern w:val="2"/>
          <w:sz w:val="28"/>
          <w:szCs w:val="28"/>
          <w:lang w:val="en-US" w:bidi="ar-SA"/>
        </w:rPr>
        <w:t>省级审核</w:t>
      </w: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的动态变化可通过“</w:t>
      </w:r>
      <w:r>
        <w:rPr>
          <w:rFonts w:hint="eastAsia" w:cs="Times New Roman"/>
          <w:color w:val="000000"/>
          <w:kern w:val="2"/>
          <w:sz w:val="28"/>
          <w:szCs w:val="28"/>
          <w:lang w:val="en-US" w:bidi="ar-SA"/>
        </w:rPr>
        <w:t>消息</w:t>
      </w: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管理”页面进行查看、追踪</w:t>
      </w:r>
      <w:r>
        <w:rPr>
          <w:rFonts w:hint="eastAsia" w:cs="Times New Roman"/>
          <w:color w:val="000000"/>
          <w:kern w:val="2"/>
          <w:sz w:val="28"/>
          <w:szCs w:val="28"/>
          <w:lang w:val="en-US" w:bidi="ar-SA"/>
        </w:rPr>
        <w:t>，</w:t>
      </w:r>
      <w:r>
        <w:rPr>
          <w:rFonts w:cs="Times New Roman"/>
          <w:color w:val="000000"/>
          <w:kern w:val="2"/>
          <w:sz w:val="28"/>
          <w:szCs w:val="28"/>
          <w:lang w:val="en-US" w:bidi="ar-SA"/>
        </w:rPr>
        <w:t>同时手机将收到相应短信提示</w:t>
      </w:r>
      <w:r>
        <w:rPr>
          <w:rFonts w:hint="eastAsia" w:cs="Times New Roman"/>
          <w:color w:val="000000"/>
          <w:kern w:val="2"/>
          <w:sz w:val="28"/>
          <w:szCs w:val="28"/>
          <w:lang w:val="en-US" w:bidi="ar-SA"/>
        </w:rPr>
        <w:t>。</w:t>
      </w:r>
    </w:p>
    <w:p>
      <w:pPr>
        <w:autoSpaceDE/>
        <w:autoSpaceDN/>
        <w:snapToGrid w:val="0"/>
        <w:spacing w:line="460" w:lineRule="atLeast"/>
        <w:ind w:firstLine="0" w:firstLineChars="0"/>
        <w:jc w:val="center"/>
        <w:rPr>
          <w:rFonts w:cs="Times New Roman"/>
          <w:kern w:val="2"/>
          <w:sz w:val="28"/>
          <w:szCs w:val="28"/>
          <w:lang w:val="en-US" w:bidi="ar-SA"/>
        </w:rPr>
      </w:pPr>
      <w:r>
        <w:rPr>
          <w:rFonts w:cs="Times New Roman"/>
          <w:kern w:val="2"/>
          <w:sz w:val="28"/>
          <w:szCs w:val="28"/>
          <w:lang w:val="en-US" w:bidi="ar-SA"/>
        </w:rPr>
        <w:drawing>
          <wp:inline distT="0" distB="0" distL="0" distR="0">
            <wp:extent cx="4791075" cy="2375535"/>
            <wp:effectExtent l="0" t="0" r="0" b="571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4806672" cy="238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autoSpaceDE/>
        <w:autoSpaceDN/>
        <w:snapToGrid w:val="0"/>
        <w:spacing w:line="460" w:lineRule="atLeast"/>
        <w:ind w:firstLine="0" w:firstLineChars="0"/>
        <w:jc w:val="center"/>
        <w:rPr>
          <w:rFonts w:cs="Times New Roman"/>
          <w:kern w:val="2"/>
          <w:sz w:val="28"/>
          <w:szCs w:val="28"/>
          <w:lang w:val="en-US" w:bidi="ar-SA"/>
        </w:rPr>
      </w:pPr>
      <w:r>
        <w:rPr>
          <w:sz w:val="28"/>
          <w:szCs w:val="28"/>
        </w:rPr>
        <w:drawing>
          <wp:inline distT="0" distB="0" distL="0" distR="0">
            <wp:extent cx="4411345" cy="2258060"/>
            <wp:effectExtent l="0" t="0" r="8255" b="889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420191" cy="226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0" w:type="default"/>
      <w:footerReference r:id="rId12" w:type="default"/>
      <w:headerReference r:id="rId11" w:type="even"/>
      <w:footerReference r:id="rId13" w:type="even"/>
      <w:pgSz w:w="11906" w:h="16838"/>
      <w:pgMar w:top="2098" w:right="1474" w:bottom="1984" w:left="1587" w:header="1134" w:footer="992" w:gutter="0"/>
      <w:pgNumType w:start="1"/>
      <w:cols w:space="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FZXiaoBiaoSong-B05S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正大黑简体">
    <w:altName w:val="黑体"/>
    <w:panose1 w:val="02000000000000000000"/>
    <w:charset w:val="86"/>
    <w:family w:val="auto"/>
    <w:pitch w:val="default"/>
    <w:sig w:usb0="00000000" w:usb1="00000000" w:usb2="00000010" w:usb3="00000000" w:csb0="00040000" w:csb1="00000000"/>
  </w:font>
  <w:font w:name="FZCuQian-M17S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粗倩简体">
    <w:altName w:val="宋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UI Light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0" w:firstLineChars="0"/>
      <w:rPr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-352499437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9"/>
          <w:ind w:firstLine="360" w:firstLineChars="0"/>
          <w:jc w:val="right"/>
          <w:rPr>
            <w:sz w:val="28"/>
            <w:szCs w:val="28"/>
          </w:rPr>
        </w:pPr>
        <w:r>
          <w:rPr>
            <w:rFonts w:hint="eastAsia"/>
            <w:sz w:val="28"/>
            <w:szCs w:val="28"/>
          </w:rPr>
          <w:t>—</w:t>
        </w:r>
        <w:r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050803682"/>
      <w:docPartObj>
        <w:docPartGallery w:val="AutoText"/>
      </w:docPartObj>
    </w:sdtPr>
    <w:sdtEndPr>
      <w:rPr>
        <w:sz w:val="28"/>
        <w:szCs w:val="28"/>
      </w:rPr>
    </w:sdtEndPr>
    <w:sdtContent>
      <w:p>
        <w:pPr>
          <w:pStyle w:val="9"/>
          <w:ind w:firstLine="0" w:firstLineChars="0"/>
          <w:rPr>
            <w:rFonts w:hint="eastAsia"/>
            <w:sz w:val="28"/>
            <w:szCs w:val="28"/>
          </w:rPr>
        </w:pPr>
        <w:r>
          <w:rPr>
            <w:rFonts w:hint="eastAsia"/>
            <w:sz w:val="28"/>
            <w:szCs w:val="28"/>
          </w:rPr>
          <w:t>—</w:t>
        </w:r>
        <w:r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 xml:space="preserve"> </w:t>
        </w:r>
        <w:r>
          <w:rPr>
            <w:rFonts w:hint="eastAsia"/>
            <w:sz w:val="28"/>
            <w:szCs w:val="28"/>
          </w:rPr>
          <w:t>—</w:t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right w:val="none" w:color="auto" w:sz="0" w:space="0"/>
      </w:pBdr>
      <w:ind w:firstLine="0" w:firstLineChars="0"/>
      <w:jc w:val="center"/>
      <w:rPr>
        <w:sz w:val="21"/>
        <w:szCs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0" w:firstLineChars="0"/>
      <w:jc w:val="left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firstLine="64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0" w:firstLineChars="0"/>
      <w:jc w:val="right"/>
      <w:rPr>
        <w:sz w:val="21"/>
        <w:szCs w:val="21"/>
      </w:rPr>
    </w:pPr>
    <w:r>
      <w:rPr>
        <w:b/>
        <w:bCs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5451475</wp:posOffset>
          </wp:positionH>
          <wp:positionV relativeFrom="margin">
            <wp:posOffset>-609600</wp:posOffset>
          </wp:positionV>
          <wp:extent cx="343535" cy="502285"/>
          <wp:effectExtent l="0" t="0" r="0" b="5715"/>
          <wp:wrapSquare wrapText="bothSides"/>
          <wp:docPr id="42" name="图片 1" descr="图片包含 文字&#10;&#10;描述已自动生成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图片 1" descr="图片包含 文字&#10;&#10;描述已自动生成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535" cy="5022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0" w:firstLineChars="0"/>
      <w:jc w:val="right"/>
      <w:rPr>
        <w:sz w:val="21"/>
        <w:szCs w:val="21"/>
      </w:rPr>
    </w:pPr>
  </w:p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right="339" w:rightChars="106" w:firstLine="0" w:firstLineChars="0"/>
      <w:jc w:val="right"/>
    </w:pPr>
    <w:r>
      <w:rPr>
        <w:rFonts w:hint="eastAsia"/>
        <w:sz w:val="21"/>
        <w:szCs w:val="21"/>
      </w:rPr>
      <w:t>“山东青创”平台操作手册（学生平台）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0" w:firstLineChars="0"/>
      <w:jc w:val="left"/>
      <w:rPr>
        <w:sz w:val="21"/>
        <w:szCs w:val="21"/>
      </w:rPr>
    </w:pPr>
    <w:r>
      <w:rPr>
        <w:b/>
        <w:bCs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margin">
            <wp:posOffset>-206375</wp:posOffset>
          </wp:positionH>
          <wp:positionV relativeFrom="margin">
            <wp:posOffset>-668655</wp:posOffset>
          </wp:positionV>
          <wp:extent cx="343535" cy="502285"/>
          <wp:effectExtent l="0" t="0" r="0" b="5715"/>
          <wp:wrapSquare wrapText="bothSides"/>
          <wp:docPr id="7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3535" cy="50228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0" w:firstLineChars="0"/>
      <w:jc w:val="left"/>
      <w:rPr>
        <w:sz w:val="21"/>
        <w:szCs w:val="21"/>
      </w:rPr>
    </w:pPr>
  </w:p>
  <w:p>
    <w:pPr>
      <w:pStyle w:val="1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ind w:firstLine="0" w:firstLineChars="0"/>
      <w:jc w:val="left"/>
    </w:pPr>
    <w:r>
      <w:rPr>
        <w:rFonts w:hint="eastAsia"/>
        <w:sz w:val="21"/>
        <w:szCs w:val="21"/>
      </w:rPr>
      <w:t>“山东青创”平台操作手册（学生平台）</w:t>
    </w:r>
  </w:p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2914B7"/>
    <w:multiLevelType w:val="singleLevel"/>
    <w:tmpl w:val="5F2914B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5"/>
      </w:rPr>
    </w:lvl>
  </w:abstractNum>
  <w:abstractNum w:abstractNumId="1">
    <w:nsid w:val="669D9511"/>
    <w:multiLevelType w:val="singleLevel"/>
    <w:tmpl w:val="669D951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evenAndOddHeaders w:val="1"/>
  <w:drawingGridHorizontalSpacing w:val="160"/>
  <w:drawingGridVerticalSpacing w:val="435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EFF863D"/>
    <w:rsid w:val="0000484A"/>
    <w:rsid w:val="000167D3"/>
    <w:rsid w:val="00022A27"/>
    <w:rsid w:val="00031E0A"/>
    <w:rsid w:val="000866B0"/>
    <w:rsid w:val="000C2004"/>
    <w:rsid w:val="000C649A"/>
    <w:rsid w:val="000F2AD7"/>
    <w:rsid w:val="001500F9"/>
    <w:rsid w:val="001A7B7E"/>
    <w:rsid w:val="001A7DED"/>
    <w:rsid w:val="001B5A65"/>
    <w:rsid w:val="0025593F"/>
    <w:rsid w:val="00285AEB"/>
    <w:rsid w:val="002E67A8"/>
    <w:rsid w:val="002F3106"/>
    <w:rsid w:val="00320751"/>
    <w:rsid w:val="0036116E"/>
    <w:rsid w:val="003E2EF3"/>
    <w:rsid w:val="0053483A"/>
    <w:rsid w:val="00551DA7"/>
    <w:rsid w:val="00574D54"/>
    <w:rsid w:val="00606A8C"/>
    <w:rsid w:val="00612137"/>
    <w:rsid w:val="00667236"/>
    <w:rsid w:val="006B2F6C"/>
    <w:rsid w:val="00711938"/>
    <w:rsid w:val="00724666"/>
    <w:rsid w:val="00783AE1"/>
    <w:rsid w:val="007C2211"/>
    <w:rsid w:val="008433CA"/>
    <w:rsid w:val="008C0215"/>
    <w:rsid w:val="008C4ADD"/>
    <w:rsid w:val="008F22EC"/>
    <w:rsid w:val="009F1195"/>
    <w:rsid w:val="00AD415E"/>
    <w:rsid w:val="00B02C1F"/>
    <w:rsid w:val="00B65717"/>
    <w:rsid w:val="00B96E83"/>
    <w:rsid w:val="00BA2764"/>
    <w:rsid w:val="00BC3503"/>
    <w:rsid w:val="00BE32D1"/>
    <w:rsid w:val="00C706AE"/>
    <w:rsid w:val="00C93352"/>
    <w:rsid w:val="00CA03D0"/>
    <w:rsid w:val="00CA5606"/>
    <w:rsid w:val="00CB2AB7"/>
    <w:rsid w:val="00CF0187"/>
    <w:rsid w:val="00CF607E"/>
    <w:rsid w:val="00D24ADC"/>
    <w:rsid w:val="00D536C8"/>
    <w:rsid w:val="00D53AF8"/>
    <w:rsid w:val="00DD45FE"/>
    <w:rsid w:val="00E55C4E"/>
    <w:rsid w:val="00EC1900"/>
    <w:rsid w:val="00ED088C"/>
    <w:rsid w:val="00F90D74"/>
    <w:rsid w:val="00FB2244"/>
    <w:rsid w:val="0BF77A44"/>
    <w:rsid w:val="13D84E91"/>
    <w:rsid w:val="1BFBCF46"/>
    <w:rsid w:val="21FF0604"/>
    <w:rsid w:val="2D99E143"/>
    <w:rsid w:val="2FA75757"/>
    <w:rsid w:val="2FFDDB6E"/>
    <w:rsid w:val="37FDB2CB"/>
    <w:rsid w:val="3A7FAECD"/>
    <w:rsid w:val="3BF972ED"/>
    <w:rsid w:val="3F5A9458"/>
    <w:rsid w:val="3F7F256D"/>
    <w:rsid w:val="4A332799"/>
    <w:rsid w:val="4F9BBA83"/>
    <w:rsid w:val="4FFE1C71"/>
    <w:rsid w:val="575FF1FA"/>
    <w:rsid w:val="57F73563"/>
    <w:rsid w:val="5FF6747A"/>
    <w:rsid w:val="5FFD42B0"/>
    <w:rsid w:val="65E69063"/>
    <w:rsid w:val="66DD0F19"/>
    <w:rsid w:val="6BFF1616"/>
    <w:rsid w:val="6D7B5089"/>
    <w:rsid w:val="6F5F80A3"/>
    <w:rsid w:val="6F6F2820"/>
    <w:rsid w:val="6FBBE11D"/>
    <w:rsid w:val="6FFE13ED"/>
    <w:rsid w:val="71FD02E5"/>
    <w:rsid w:val="76F7C1EB"/>
    <w:rsid w:val="76FDCE71"/>
    <w:rsid w:val="77BF28B6"/>
    <w:rsid w:val="77F69AAE"/>
    <w:rsid w:val="7ABD7C23"/>
    <w:rsid w:val="7AEFC901"/>
    <w:rsid w:val="7BBF9725"/>
    <w:rsid w:val="7CF715AD"/>
    <w:rsid w:val="7EFF863D"/>
    <w:rsid w:val="7F6A565B"/>
    <w:rsid w:val="7F7781ED"/>
    <w:rsid w:val="7FC73D72"/>
    <w:rsid w:val="7FF78B8A"/>
    <w:rsid w:val="8EB69DD7"/>
    <w:rsid w:val="9CBE6124"/>
    <w:rsid w:val="9D3FBC36"/>
    <w:rsid w:val="9FEBA846"/>
    <w:rsid w:val="ABFF4AD8"/>
    <w:rsid w:val="AFD7D2F8"/>
    <w:rsid w:val="B35FB582"/>
    <w:rsid w:val="BA9F190C"/>
    <w:rsid w:val="BBF6F7D1"/>
    <w:rsid w:val="BD69E687"/>
    <w:rsid w:val="BDED033D"/>
    <w:rsid w:val="BEFFF29F"/>
    <w:rsid w:val="BFAEFE90"/>
    <w:rsid w:val="CAFF1D32"/>
    <w:rsid w:val="CFDDBC49"/>
    <w:rsid w:val="CFEEF95B"/>
    <w:rsid w:val="CFF7FC4A"/>
    <w:rsid w:val="D2B962DC"/>
    <w:rsid w:val="D78FAFB6"/>
    <w:rsid w:val="DB4F5AB6"/>
    <w:rsid w:val="DBABE145"/>
    <w:rsid w:val="DD67E51D"/>
    <w:rsid w:val="DD7D949D"/>
    <w:rsid w:val="DFEBCE79"/>
    <w:rsid w:val="E3CD3214"/>
    <w:rsid w:val="E67F04B4"/>
    <w:rsid w:val="E6AF93DD"/>
    <w:rsid w:val="E7C4F982"/>
    <w:rsid w:val="E7F14C97"/>
    <w:rsid w:val="EEBF3685"/>
    <w:rsid w:val="EED9D1B1"/>
    <w:rsid w:val="EEFFF26F"/>
    <w:rsid w:val="F1761FAE"/>
    <w:rsid w:val="F2DEA673"/>
    <w:rsid w:val="F3FFD5E1"/>
    <w:rsid w:val="F7B32DC8"/>
    <w:rsid w:val="FB6F182B"/>
    <w:rsid w:val="FB7FC6D1"/>
    <w:rsid w:val="FBDF2DC3"/>
    <w:rsid w:val="FBF56541"/>
    <w:rsid w:val="FBFD5D8C"/>
    <w:rsid w:val="FCDFA422"/>
    <w:rsid w:val="FCEEFCDE"/>
    <w:rsid w:val="FD2FB069"/>
    <w:rsid w:val="FDB75276"/>
    <w:rsid w:val="FE7BD012"/>
    <w:rsid w:val="FEFB09C1"/>
    <w:rsid w:val="FF78E408"/>
    <w:rsid w:val="FFAD9D75"/>
    <w:rsid w:val="FFE90E4D"/>
    <w:rsid w:val="FFF54F6D"/>
    <w:rsid w:val="FFFA5A68"/>
    <w:rsid w:val="FFFBE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line="570" w:lineRule="exact"/>
      <w:ind w:firstLine="880" w:firstLineChars="200"/>
      <w:jc w:val="both"/>
    </w:pPr>
    <w:rPr>
      <w:rFonts w:ascii="宋体" w:hAnsi="宋体" w:eastAsia="仿宋_GB2312" w:cs="宋体"/>
      <w:sz w:val="32"/>
      <w:szCs w:val="32"/>
      <w:lang w:val="zh-CN" w:eastAsia="zh-CN" w:bidi="zh-CN"/>
    </w:rPr>
  </w:style>
  <w:style w:type="paragraph" w:styleId="2">
    <w:name w:val="heading 1"/>
    <w:basedOn w:val="1"/>
    <w:next w:val="1"/>
    <w:link w:val="24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link w:val="25"/>
    <w:unhideWhenUsed/>
    <w:qFormat/>
    <w:uiPriority w:val="0"/>
    <w:pPr>
      <w:keepNext/>
      <w:keepLines/>
      <w:outlineLvl w:val="1"/>
    </w:pPr>
    <w:rPr>
      <w:rFonts w:eastAsia="楷体_GB2312" w:cstheme="majorBidi"/>
    </w:rPr>
  </w:style>
  <w:style w:type="paragraph" w:styleId="4">
    <w:name w:val="heading 3"/>
    <w:basedOn w:val="1"/>
    <w:next w:val="1"/>
    <w:link w:val="27"/>
    <w:unhideWhenUsed/>
    <w:qFormat/>
    <w:uiPriority w:val="0"/>
    <w:pPr>
      <w:keepNext/>
      <w:keepLines/>
      <w:ind w:firstLine="0" w:firstLineChars="0"/>
      <w:outlineLvl w:val="2"/>
    </w:pPr>
    <w:rPr>
      <w:b/>
      <w:bCs/>
      <w:sz w:val="28"/>
    </w:rPr>
  </w:style>
  <w:style w:type="character" w:default="1" w:styleId="18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7"/>
    <w:basedOn w:val="1"/>
    <w:next w:val="1"/>
    <w:qFormat/>
    <w:uiPriority w:val="0"/>
    <w:pPr>
      <w:ind w:left="1920"/>
      <w:jc w:val="left"/>
    </w:pPr>
    <w:rPr>
      <w:rFonts w:asciiTheme="minorHAnsi" w:hAnsiTheme="minorHAnsi"/>
      <w:sz w:val="20"/>
      <w:szCs w:val="20"/>
    </w:rPr>
  </w:style>
  <w:style w:type="paragraph" w:styleId="6">
    <w:name w:val="toc 5"/>
    <w:basedOn w:val="1"/>
    <w:next w:val="1"/>
    <w:qFormat/>
    <w:uiPriority w:val="0"/>
    <w:pPr>
      <w:ind w:left="1280"/>
      <w:jc w:val="left"/>
    </w:pPr>
    <w:rPr>
      <w:rFonts w:asciiTheme="minorHAnsi" w:hAnsiTheme="minorHAnsi"/>
      <w:sz w:val="20"/>
      <w:szCs w:val="20"/>
    </w:rPr>
  </w:style>
  <w:style w:type="paragraph" w:styleId="7">
    <w:name w:val="toc 3"/>
    <w:basedOn w:val="1"/>
    <w:next w:val="1"/>
    <w:unhideWhenUsed/>
    <w:qFormat/>
    <w:uiPriority w:val="39"/>
    <w:pPr>
      <w:ind w:left="640"/>
      <w:jc w:val="left"/>
    </w:pPr>
    <w:rPr>
      <w:rFonts w:asciiTheme="minorHAnsi" w:hAnsiTheme="minorHAnsi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2240"/>
      <w:jc w:val="left"/>
    </w:pPr>
    <w:rPr>
      <w:rFonts w:asciiTheme="minorHAnsi" w:hAnsiTheme="minorHAnsi"/>
      <w:sz w:val="20"/>
      <w:szCs w:val="20"/>
    </w:rPr>
  </w:style>
  <w:style w:type="paragraph" w:styleId="9">
    <w:name w:val="footer"/>
    <w:basedOn w:val="1"/>
    <w:link w:val="3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3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="DejaVu Sans" w:hAnsi="DejaVu Sans"/>
      <w:sz w:val="18"/>
    </w:rPr>
  </w:style>
  <w:style w:type="paragraph" w:styleId="11">
    <w:name w:val="toc 1"/>
    <w:basedOn w:val="1"/>
    <w:next w:val="1"/>
    <w:qFormat/>
    <w:uiPriority w:val="39"/>
    <w:pPr>
      <w:spacing w:before="120"/>
      <w:jc w:val="left"/>
    </w:pPr>
    <w:rPr>
      <w:rFonts w:asciiTheme="minorHAnsi" w:hAnsiTheme="minorHAnsi"/>
      <w:b/>
      <w:bCs/>
      <w:i/>
      <w:iCs/>
      <w:sz w:val="24"/>
      <w:szCs w:val="24"/>
    </w:rPr>
  </w:style>
  <w:style w:type="paragraph" w:styleId="12">
    <w:name w:val="toc 4"/>
    <w:basedOn w:val="1"/>
    <w:next w:val="1"/>
    <w:qFormat/>
    <w:uiPriority w:val="0"/>
    <w:pPr>
      <w:ind w:left="960"/>
      <w:jc w:val="left"/>
    </w:pPr>
    <w:rPr>
      <w:rFonts w:asciiTheme="minorHAnsi" w:hAnsiTheme="minorHAnsi"/>
      <w:sz w:val="20"/>
      <w:szCs w:val="20"/>
    </w:rPr>
  </w:style>
  <w:style w:type="paragraph" w:styleId="13">
    <w:name w:val="toc 6"/>
    <w:basedOn w:val="1"/>
    <w:next w:val="1"/>
    <w:qFormat/>
    <w:uiPriority w:val="0"/>
    <w:pPr>
      <w:ind w:left="1600"/>
      <w:jc w:val="left"/>
    </w:pPr>
    <w:rPr>
      <w:rFonts w:asciiTheme="minorHAnsi" w:hAnsiTheme="minorHAnsi"/>
      <w:sz w:val="20"/>
      <w:szCs w:val="20"/>
    </w:rPr>
  </w:style>
  <w:style w:type="paragraph" w:styleId="14">
    <w:name w:val="toc 2"/>
    <w:basedOn w:val="1"/>
    <w:next w:val="1"/>
    <w:qFormat/>
    <w:uiPriority w:val="39"/>
    <w:pPr>
      <w:spacing w:before="120"/>
      <w:ind w:left="320"/>
      <w:jc w:val="left"/>
    </w:pPr>
    <w:rPr>
      <w:rFonts w:asciiTheme="minorHAnsi" w:hAnsiTheme="minorHAnsi"/>
      <w:b/>
      <w:bCs/>
      <w:sz w:val="22"/>
      <w:szCs w:val="22"/>
    </w:rPr>
  </w:style>
  <w:style w:type="paragraph" w:styleId="15">
    <w:name w:val="toc 9"/>
    <w:basedOn w:val="1"/>
    <w:next w:val="1"/>
    <w:qFormat/>
    <w:uiPriority w:val="0"/>
    <w:pPr>
      <w:ind w:left="2560"/>
      <w:jc w:val="left"/>
    </w:pPr>
    <w:rPr>
      <w:rFonts w:asciiTheme="minorHAnsi" w:hAnsiTheme="minorHAnsi"/>
      <w:sz w:val="20"/>
      <w:szCs w:val="20"/>
    </w:rPr>
  </w:style>
  <w:style w:type="paragraph" w:styleId="16">
    <w:name w:val="Title"/>
    <w:basedOn w:val="1"/>
    <w:next w:val="1"/>
    <w:qFormat/>
    <w:uiPriority w:val="0"/>
    <w:pPr>
      <w:jc w:val="center"/>
    </w:pPr>
    <w:rPr>
      <w:rFonts w:eastAsia="宋体" w:asciiTheme="majorHAnsi" w:hAnsiTheme="majorHAnsi" w:cstheme="majorBidi"/>
      <w:b/>
      <w:bCs/>
    </w:rPr>
  </w:style>
  <w:style w:type="character" w:styleId="19">
    <w:name w:val="page number"/>
    <w:basedOn w:val="18"/>
    <w:qFormat/>
    <w:uiPriority w:val="0"/>
  </w:style>
  <w:style w:type="character" w:styleId="20">
    <w:name w:val="Hyperlink"/>
    <w:basedOn w:val="1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21">
    <w:name w:val="二级标题"/>
    <w:basedOn w:val="1"/>
    <w:qFormat/>
    <w:uiPriority w:val="0"/>
    <w:rPr>
      <w:rFonts w:eastAsia="楷体"/>
      <w:kern w:val="44"/>
    </w:rPr>
  </w:style>
  <w:style w:type="paragraph" w:customStyle="1" w:styleId="22">
    <w:name w:val="一级标题"/>
    <w:basedOn w:val="2"/>
    <w:qFormat/>
    <w:uiPriority w:val="0"/>
    <w:pPr>
      <w:keepNext w:val="0"/>
    </w:pPr>
    <w:rPr>
      <w:rFonts w:cstheme="minorBidi"/>
    </w:rPr>
  </w:style>
  <w:style w:type="paragraph" w:customStyle="1" w:styleId="23">
    <w:name w:val="图片"/>
    <w:basedOn w:val="1"/>
    <w:qFormat/>
    <w:uiPriority w:val="0"/>
    <w:pPr>
      <w:spacing w:line="500" w:lineRule="atLeast"/>
      <w:ind w:firstLine="0" w:firstLineChars="0"/>
      <w:jc w:val="center"/>
    </w:pPr>
  </w:style>
  <w:style w:type="character" w:customStyle="1" w:styleId="24">
    <w:name w:val="标题 1 字符"/>
    <w:basedOn w:val="18"/>
    <w:link w:val="2"/>
    <w:qFormat/>
    <w:uiPriority w:val="9"/>
    <w:rPr>
      <w:rFonts w:ascii="宋体" w:hAnsi="宋体" w:eastAsia="黑体"/>
      <w:bCs/>
      <w:kern w:val="44"/>
      <w:sz w:val="32"/>
      <w:szCs w:val="44"/>
    </w:rPr>
  </w:style>
  <w:style w:type="character" w:customStyle="1" w:styleId="25">
    <w:name w:val="标题 2 字符"/>
    <w:basedOn w:val="18"/>
    <w:link w:val="3"/>
    <w:qFormat/>
    <w:uiPriority w:val="9"/>
    <w:rPr>
      <w:rFonts w:ascii="宋体" w:hAnsi="宋体" w:eastAsia="楷体_GB2312" w:cstheme="majorBidi"/>
      <w:sz w:val="32"/>
      <w:szCs w:val="32"/>
    </w:rPr>
  </w:style>
  <w:style w:type="paragraph" w:customStyle="1" w:styleId="26">
    <w:name w:val="大标题"/>
    <w:basedOn w:val="22"/>
    <w:qFormat/>
    <w:uiPriority w:val="0"/>
    <w:pPr>
      <w:ind w:firstLine="0" w:firstLineChars="0"/>
      <w:jc w:val="center"/>
    </w:pPr>
    <w:rPr>
      <w:rFonts w:eastAsia="方正小标宋_GBK"/>
      <w:bCs w:val="0"/>
      <w:sz w:val="44"/>
    </w:rPr>
  </w:style>
  <w:style w:type="character" w:customStyle="1" w:styleId="27">
    <w:name w:val="标题 3 字符"/>
    <w:basedOn w:val="18"/>
    <w:link w:val="4"/>
    <w:qFormat/>
    <w:uiPriority w:val="9"/>
    <w:rPr>
      <w:b/>
      <w:bCs/>
      <w:sz w:val="28"/>
      <w:szCs w:val="32"/>
    </w:rPr>
  </w:style>
  <w:style w:type="paragraph" w:customStyle="1" w:styleId="2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2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0">
    <w:name w:val="TOC 标题1"/>
    <w:basedOn w:val="2"/>
    <w:next w:val="1"/>
    <w:unhideWhenUsed/>
    <w:qFormat/>
    <w:uiPriority w:val="39"/>
    <w:pPr>
      <w:widowControl/>
      <w:autoSpaceDE/>
      <w:autoSpaceDN/>
      <w:spacing w:before="480" w:line="276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/>
      <w:color w:val="2E75B6" w:themeColor="accent1" w:themeShade="BF"/>
      <w:kern w:val="0"/>
      <w:sz w:val="28"/>
      <w:szCs w:val="28"/>
      <w:lang w:val="en-US" w:bidi="ar-SA"/>
    </w:rPr>
  </w:style>
  <w:style w:type="character" w:customStyle="1" w:styleId="31">
    <w:name w:val="页眉 字符"/>
    <w:basedOn w:val="18"/>
    <w:link w:val="10"/>
    <w:qFormat/>
    <w:uiPriority w:val="0"/>
    <w:rPr>
      <w:rFonts w:ascii="DejaVu Sans" w:hAnsi="DejaVu Sans" w:eastAsia="仿宋_GB2312" w:cs="宋体"/>
      <w:sz w:val="18"/>
      <w:szCs w:val="32"/>
      <w:lang w:val="zh-CN" w:bidi="zh-CN"/>
    </w:rPr>
  </w:style>
  <w:style w:type="paragraph" w:styleId="32">
    <w:name w:val="List Paragraph"/>
    <w:basedOn w:val="1"/>
    <w:uiPriority w:val="99"/>
    <w:pPr>
      <w:ind w:firstLine="420"/>
    </w:pPr>
  </w:style>
  <w:style w:type="paragraph" w:customStyle="1" w:styleId="33">
    <w:name w:val="TOC Heading"/>
    <w:basedOn w:val="2"/>
    <w:next w:val="1"/>
    <w:unhideWhenUsed/>
    <w:qFormat/>
    <w:uiPriority w:val="39"/>
    <w:pPr>
      <w:widowControl/>
      <w:autoSpaceDE/>
      <w:autoSpaceDN/>
      <w:spacing w:before="24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Cs w:val="0"/>
      <w:color w:val="2E75B6" w:themeColor="accent1" w:themeShade="BF"/>
      <w:kern w:val="0"/>
      <w:szCs w:val="32"/>
      <w:lang w:val="en-US" w:bidi="ar-SA"/>
    </w:rPr>
  </w:style>
  <w:style w:type="character" w:customStyle="1" w:styleId="34">
    <w:name w:val="页脚 字符"/>
    <w:basedOn w:val="18"/>
    <w:link w:val="9"/>
    <w:uiPriority w:val="99"/>
    <w:rPr>
      <w:rFonts w:ascii="宋体" w:hAnsi="宋体" w:eastAsia="仿宋_GB2312" w:cs="宋体"/>
      <w:sz w:val="18"/>
      <w:szCs w:val="32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8" Type="http://schemas.openxmlformats.org/officeDocument/2006/relationships/fontTable" Target="fontTable.xml"/><Relationship Id="rId47" Type="http://schemas.openxmlformats.org/officeDocument/2006/relationships/customXml" Target="../customXml/item2.xml"/><Relationship Id="rId46" Type="http://schemas.openxmlformats.org/officeDocument/2006/relationships/numbering" Target="numbering.xml"/><Relationship Id="rId45" Type="http://schemas.openxmlformats.org/officeDocument/2006/relationships/customXml" Target="../customXml/item1.xml"/><Relationship Id="rId44" Type="http://schemas.openxmlformats.org/officeDocument/2006/relationships/image" Target="media/image31.png"/><Relationship Id="rId43" Type="http://schemas.openxmlformats.org/officeDocument/2006/relationships/image" Target="media/image30.png"/><Relationship Id="rId42" Type="http://schemas.openxmlformats.org/officeDocument/2006/relationships/image" Target="media/image29.png"/><Relationship Id="rId41" Type="http://schemas.openxmlformats.org/officeDocument/2006/relationships/image" Target="media/image28.png"/><Relationship Id="rId40" Type="http://schemas.openxmlformats.org/officeDocument/2006/relationships/image" Target="media/image27.png"/><Relationship Id="rId4" Type="http://schemas.openxmlformats.org/officeDocument/2006/relationships/header" Target="header2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header" Target="header1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footer" Target="footer4.xml"/><Relationship Id="rId11" Type="http://schemas.openxmlformats.org/officeDocument/2006/relationships/header" Target="header6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23531A-6388-450D-90CA-6A89AEEA87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537</Words>
  <Characters>3065</Characters>
  <Lines>25</Lines>
  <Paragraphs>7</Paragraphs>
  <TotalTime>83</TotalTime>
  <ScaleCrop>false</ScaleCrop>
  <LinksUpToDate>false</LinksUpToDate>
  <CharactersWithSpaces>3595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2020-10-20T15:50:00Z</dcterms:created>
  <dc:creator>jiaojian</dc:creator>
  <cp:lastModifiedBy>Pluto丶</cp:lastModifiedBy>
  <dcterms:modified xsi:type="dcterms:W3CDTF">2021-03-12T07:35:01Z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